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523A0" w14:textId="71835F44" w:rsidR="00E50067" w:rsidRPr="00B83422" w:rsidRDefault="003620DF" w:rsidP="00E50067">
      <w:pPr>
        <w:pStyle w:val="Nadpis3"/>
        <w:shd w:val="clear" w:color="auto" w:fill="FFFFFF"/>
        <w:spacing w:after="100" w:afterAutospacing="1"/>
        <w:jc w:val="both"/>
        <w:rPr>
          <w:b/>
          <w:bCs/>
          <w:color w:val="000000"/>
          <w:sz w:val="36"/>
          <w:szCs w:val="32"/>
          <w:lang w:val="cs-CZ"/>
        </w:rPr>
      </w:pPr>
      <w:r>
        <w:rPr>
          <w:b/>
          <w:bCs/>
          <w:color w:val="000000"/>
          <w:sz w:val="36"/>
          <w:szCs w:val="32"/>
          <w:lang w:val="cs-CZ"/>
        </w:rPr>
        <w:t>3+1</w:t>
      </w:r>
      <w:r w:rsidR="00956B1B" w:rsidRPr="00B83422">
        <w:rPr>
          <w:b/>
          <w:bCs/>
          <w:color w:val="000000"/>
          <w:sz w:val="36"/>
          <w:szCs w:val="32"/>
          <w:lang w:val="cs-CZ"/>
        </w:rPr>
        <w:t xml:space="preserve"> způsoby, jak ušetřit na EET</w:t>
      </w:r>
    </w:p>
    <w:p w14:paraId="78891BA9" w14:textId="46B22EF4" w:rsidR="00F51A27" w:rsidRPr="00B83422" w:rsidRDefault="00614BEB" w:rsidP="00614BEB">
      <w:pPr>
        <w:spacing w:after="100" w:afterAutospacing="1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</w:pPr>
      <w:r w:rsidRPr="00B83422">
        <w:rPr>
          <w:szCs w:val="18"/>
          <w:lang w:val="cs-CZ"/>
        </w:rPr>
        <w:t xml:space="preserve">Praha, </w:t>
      </w:r>
      <w:r w:rsidR="00E07C2E">
        <w:rPr>
          <w:szCs w:val="18"/>
          <w:lang w:val="cs-CZ"/>
        </w:rPr>
        <w:t>2. února</w:t>
      </w:r>
      <w:r w:rsidRPr="003C1A05">
        <w:rPr>
          <w:szCs w:val="18"/>
          <w:lang w:val="cs-CZ"/>
        </w:rPr>
        <w:t xml:space="preserve"> 2017</w:t>
      </w:r>
      <w:r w:rsidRPr="00B83422">
        <w:rPr>
          <w:szCs w:val="18"/>
          <w:lang w:val="cs-CZ"/>
        </w:rPr>
        <w:t xml:space="preserve"> – </w:t>
      </w:r>
      <w:r w:rsidR="00F51A27"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  <w:t xml:space="preserve">Pořídit </w:t>
      </w:r>
      <w:r w:rsidR="00B16539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  <w:t xml:space="preserve">si </w:t>
      </w:r>
      <w:r w:rsidR="00F51A27"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  <w:t xml:space="preserve">levnou pokladnu nebo </w:t>
      </w:r>
      <w:r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  <w:t>zvolit řešení bez paušálních poplatků</w:t>
      </w:r>
      <w:r w:rsidR="00B16539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  <w:t xml:space="preserve">? </w:t>
      </w:r>
      <w:r w:rsidR="00E07C2E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  <w:t>Najdou se i jiné způsoby</w:t>
      </w:r>
      <w:r w:rsidR="00F51A27"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  <w:t xml:space="preserve">, jak </w:t>
      </w:r>
      <w:r w:rsidR="00FC6865"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  <w:t>snížit</w:t>
      </w:r>
      <w:r w:rsidR="00F51A27"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  <w:t xml:space="preserve"> náklady na EET. </w:t>
      </w:r>
      <w:r w:rsidR="00B16539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  <w:t>J</w:t>
      </w:r>
      <w:r w:rsidR="00FC6865"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  <w:lang w:val="cs-CZ"/>
        </w:rPr>
        <w:t>sou smysluplnější a na některých se dá i vydělat.</w:t>
      </w:r>
    </w:p>
    <w:p w14:paraId="729B4220" w14:textId="676F3B01" w:rsidR="00F51A27" w:rsidRPr="00B83422" w:rsidRDefault="00F51A27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  <w:t xml:space="preserve">1) </w:t>
      </w:r>
      <w:r w:rsidR="00614BEB"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  <w:t>Tiskněte krátké</w:t>
      </w:r>
      <w:r w:rsidR="004929A7"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  <w:t xml:space="preserve"> účtenky</w:t>
      </w:r>
    </w:p>
    <w:p w14:paraId="4FAF3093" w14:textId="249C76FE" w:rsidR="004929A7" w:rsidRPr="00B83422" w:rsidRDefault="00F51A27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Vaše účtenka rozhodně nemusí měřit kilometr. I se všemi povinnými údaji a nezbytnými FIK a BKP kódy </w:t>
      </w:r>
      <w:r w:rsidR="00C0725A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můžete zákazníkům vydávat účtenku standardních rozměrů</w:t>
      </w:r>
      <w:r w:rsidR="00614BEB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 nebo ještě menší</w:t>
      </w:r>
      <w:r w:rsidR="00FC6865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. Stačí v nasta</w:t>
      </w:r>
      <w:r w:rsidR="00C0725A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vení tisku zvolit „miniúčtenka“. </w:t>
      </w:r>
      <w:r w:rsidR="004929A7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V</w:t>
      </w:r>
      <w:r w:rsidR="00C0725A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 případě Dotykačky se takto dá </w:t>
      </w:r>
      <w:r w:rsidR="00614BEB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rozměr účtenky </w:t>
      </w:r>
      <w:r w:rsidR="00E07C2E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zmenšit </w:t>
      </w:r>
      <w:r w:rsidR="00E07C2E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i</w:t>
      </w:r>
      <w:r w:rsidR="00614BEB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 </w:t>
      </w:r>
      <w:r w:rsidR="00C0725A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o polovinu.</w:t>
      </w:r>
      <w:r w:rsidR="00C0725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</w:t>
      </w:r>
    </w:p>
    <w:p w14:paraId="7447990D" w14:textId="4822F638" w:rsidR="009A42B7" w:rsidRPr="00B83422" w:rsidRDefault="004929A7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„</w:t>
      </w:r>
      <w:r w:rsidR="00C0725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Při </w:t>
      </w:r>
      <w:r w:rsidR="00614BEB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výchozím</w:t>
      </w:r>
      <w:r w:rsidR="00C0725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nastavení </w:t>
      </w:r>
      <w:r w:rsidR="00614BEB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měřila </w:t>
      </w:r>
      <w:r w:rsidR="00C0725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účtenka o čtyřech položkách</w:t>
      </w: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</w:t>
      </w:r>
      <w:r w:rsidR="00614BEB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cca</w:t>
      </w:r>
      <w:r w:rsidR="00E07C2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18</w:t>
      </w:r>
      <w:r w:rsidR="00C0725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cm</w:t>
      </w:r>
      <w:r w:rsidR="00614BEB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. M</w:t>
      </w:r>
      <w:r w:rsidR="00C0725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iniúčtenka </w:t>
      </w:r>
      <w:r w:rsidR="00614BEB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se stejnými údaji</w:t>
      </w: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</w:t>
      </w:r>
      <w:r w:rsidR="00614BEB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má </w:t>
      </w:r>
      <w:r w:rsidR="00E07C2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11</w:t>
      </w: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cm. </w:t>
      </w:r>
      <w:r w:rsidR="00614BEB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Na kotoučky v malých tiskárnách</w:t>
      </w: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</w:t>
      </w:r>
      <w:r w:rsidR="00C0725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o návinu 9</w:t>
      </w: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m</w:t>
      </w:r>
      <w:r w:rsidR="00C0725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tak </w:t>
      </w: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lze</w:t>
      </w:r>
      <w:r w:rsidR="00C0725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jen díky </w:t>
      </w: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odlišnému </w:t>
      </w:r>
      <w:r w:rsidR="00E07C2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nastavení vytisknout přes 80</w:t>
      </w:r>
      <w:r w:rsidR="00C0725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účtenek</w:t>
      </w:r>
      <w:r w:rsidR="00E07C2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místo 50</w:t>
      </w:r>
      <w:r w:rsidR="00C0725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. </w:t>
      </w: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Při průměru 30 účtenek denně by to znamenalo úsporu </w:t>
      </w:r>
      <w:r w:rsidR="00E07C2E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přes 100</w:t>
      </w: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Kč měsíčně, což </w:t>
      </w:r>
      <w:r w:rsidR="00614BEB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je v případě Dotykačky</w:t>
      </w: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třetina měsíčního poplatku za provoz pokladny,“</w:t>
      </w: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 uvádí Michal Wantulok.</w:t>
      </w:r>
    </w:p>
    <w:p w14:paraId="18653511" w14:textId="7457DC1B" w:rsidR="004D17EA" w:rsidRPr="00B83422" w:rsidRDefault="004D17EA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val="single"/>
        </w:rPr>
      </w:pP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val="single"/>
        </w:rPr>
        <w:t>Výsledná úspora: Desítky až stovky korun měsíčně.</w:t>
      </w:r>
    </w:p>
    <w:p w14:paraId="0D9648EA" w14:textId="703A4C21" w:rsidR="004929A7" w:rsidRPr="00B83422" w:rsidRDefault="004929A7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  <w:t xml:space="preserve">2) </w:t>
      </w:r>
      <w:r w:rsidR="00B83422"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  <w:t>Sdílejte pokladnu</w:t>
      </w:r>
    </w:p>
    <w:p w14:paraId="06F8CEAC" w14:textId="004CAC4C" w:rsidR="00614BEB" w:rsidRPr="00B83422" w:rsidRDefault="00A02918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Funguje vás více podnikatelů na jednom místě? Pak není nutné, aby každý z vás pořizoval svůj vlastní pokladní systém. Stačí koupit jednu pokladnu a zvolit jednoho „hlavního“ </w:t>
      </w:r>
      <w:r w:rsidR="00614BEB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uživatele</w:t>
      </w: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. Ostatní </w:t>
      </w:r>
      <w:r w:rsidR="00614BEB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mu </w:t>
      </w: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pak mohou udělit tzv. „p</w:t>
      </w:r>
      <w:r w:rsidR="004929A7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ověření k evidování tržeb</w:t>
      </w: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“. </w:t>
      </w:r>
    </w:p>
    <w:p w14:paraId="5B5B3512" w14:textId="61409DF6" w:rsidR="004929A7" w:rsidRPr="00B83422" w:rsidRDefault="00A02918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Podnikatel 1 tak díky tomuto pověření bude moci tisknout účtenky Podnikatele 2. V pokladním systému vše zůstane rozdělené, tudíž ani s následným účetnictvím nebude problém.</w:t>
      </w:r>
    </w:p>
    <w:p w14:paraId="321F13A1" w14:textId="1D2869F9" w:rsidR="00A02918" w:rsidRPr="00B83422" w:rsidRDefault="00A02918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val="single"/>
        </w:rPr>
      </w:pP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val="single"/>
        </w:rPr>
        <w:t>Názorný příklad:</w:t>
      </w:r>
    </w:p>
    <w:p w14:paraId="5C45CD18" w14:textId="6CD73D2B" w:rsidR="00A02918" w:rsidRPr="00B83422" w:rsidRDefault="00A02918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Představme si společný obchod Železářství + domácí potřeby. Železářství provozuje manžel, domácí potřeby manželka. Společně si mohou pořídit jednu pokladnu, přičemž určí, že jejím hlavním uživatelem bude manžel. Manželka mu tedy udělí pověření k evidování tržeb. </w:t>
      </w:r>
    </w:p>
    <w:p w14:paraId="18529CC6" w14:textId="3674CF6D" w:rsidR="00A02918" w:rsidRPr="00B83422" w:rsidRDefault="00A02918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„Dotykačka umožňuje nastavit u jednotlivých položek nebo i celých</w:t>
      </w:r>
      <w:r w:rsidR="00614BEB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produktových</w:t>
      </w: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 kategorií, pod jaký obchod spadají. Systém tedy udrží ve všem pořádek i v případě, že si jeden zákazník koupí cedník a k němu pět šroubků</w:t>
      </w:r>
      <w:r w:rsidR="004D17E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 xml:space="preserve">. </w:t>
      </w:r>
      <w:r w:rsidR="00614BEB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Dostane jednu účtenku bez ohledu na to, od koho kterou položku kupuje. Počet uživatelů pokladny není nijak omezen</w:t>
      </w:r>
      <w:r w:rsidR="004D17EA"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,“</w:t>
      </w:r>
      <w:r w:rsidR="004D17EA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 vysvětluje Michal Wantulok. </w:t>
      </w:r>
    </w:p>
    <w:p w14:paraId="0B223347" w14:textId="44D95573" w:rsidR="004D17EA" w:rsidRPr="00B83422" w:rsidRDefault="004D17EA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val="single"/>
        </w:rPr>
      </w:pP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val="single"/>
        </w:rPr>
        <w:t>Výsledná úspora: Tisíce korun za pořízení další pokladny + stovky korun měsíčně za její provoz (poplatky).</w:t>
      </w:r>
    </w:p>
    <w:p w14:paraId="127BAC49" w14:textId="3615A34F" w:rsidR="00B83422" w:rsidRPr="00B83422" w:rsidRDefault="00614BEB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  <w:t xml:space="preserve">3) </w:t>
      </w:r>
      <w:r w:rsidR="00B83422"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  <w:t>Hlídejte si poplatky za platby kartou</w:t>
      </w:r>
    </w:p>
    <w:p w14:paraId="7726D4A7" w14:textId="08966110" w:rsidR="00B83422" w:rsidRDefault="003C1A05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lastRenderedPageBreak/>
        <w:t xml:space="preserve">Každé procento se počítá. Pokud přijímáte platby kartou, může být v ročním vyúčtování značný rozdíl, jestli z každé platby odvádíte bance jedno procento, nebo dvě. </w:t>
      </w:r>
    </w:p>
    <w:p w14:paraId="0C16614E" w14:textId="46873D41" w:rsidR="003C1A05" w:rsidRDefault="003C1A05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</w:pPr>
      <w:r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„Podmínky poplatků za karetní transakce bývají hodně individuální, u našich zákazníků se dosud pohybovaly v rozmezí 1,5-2,5 procenta z každé platby. Dotykačka však nyní uzavřela výhodné partnerství s ČSOB, díky kterému činí provize z plateb kartou pouhých 0,99 procenta,“ uvádí Michal Wantulok.</w:t>
      </w:r>
    </w:p>
    <w:p w14:paraId="4D45C8B2" w14:textId="758C6287" w:rsidR="003C1A05" w:rsidRPr="003C1A05" w:rsidRDefault="003C1A05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val="single"/>
        </w:rPr>
      </w:pPr>
      <w:r w:rsidRPr="003C1A05">
        <w:rPr>
          <w:rFonts w:ascii="Helvetica" w:eastAsia="Times New Roman" w:hAnsi="Helvetica" w:cs="Arial Unicode MS"/>
          <w:color w:val="000000"/>
          <w:sz w:val="22"/>
          <w:szCs w:val="22"/>
          <w:u w:val="single"/>
        </w:rPr>
        <w:t>Výsledná úspora: V závislosti na množství a výši transakcí řádově stovky až tisíce korun.</w:t>
      </w:r>
    </w:p>
    <w:p w14:paraId="3F87142D" w14:textId="64F9ECB1" w:rsidR="00614BEB" w:rsidRPr="00B83422" w:rsidRDefault="00B83422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  <w:t xml:space="preserve">4) </w:t>
      </w:r>
      <w:r w:rsidR="00614BEB" w:rsidRPr="00B83422">
        <w:rPr>
          <w:rFonts w:ascii="Helvetica" w:eastAsia="Times New Roman" w:hAnsi="Helvetica" w:cs="Arial Unicode MS"/>
          <w:b/>
          <w:color w:val="000000"/>
          <w:sz w:val="22"/>
          <w:szCs w:val="22"/>
          <w:u w:color="000000"/>
        </w:rPr>
        <w:t>Vydělejte na reklamě</w:t>
      </w:r>
    </w:p>
    <w:p w14:paraId="340D069F" w14:textId="77777777" w:rsidR="00BB1156" w:rsidRPr="00B83422" w:rsidRDefault="00BB1156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Pokladna v kamenném obchodě či stánku je klíčové místo z hlediska umístění reklamy. Za obrandované mincovníky v jejich blízkosti jsou některé společnosti ochotné platit provozovatelům obchodů tisíce korun. Proč tedy efektivně nevyužít z</w:t>
      </w:r>
      <w:r w:rsidR="00D5685E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ákaznický displej</w:t>
      </w: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>?</w:t>
      </w:r>
      <w:r w:rsidR="00D5685E"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 </w:t>
      </w:r>
    </w:p>
    <w:p w14:paraId="57E03EEF" w14:textId="4E5837C7" w:rsidR="00D5685E" w:rsidRPr="00B83422" w:rsidRDefault="00BB1156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</w:pPr>
      <w:r w:rsidRPr="00B83422">
        <w:rPr>
          <w:rFonts w:ascii="Helvetica" w:eastAsia="Times New Roman" w:hAnsi="Helvetica" w:cs="Arial Unicode MS"/>
          <w:i/>
          <w:color w:val="000000"/>
          <w:sz w:val="22"/>
          <w:szCs w:val="22"/>
          <w:u w:color="000000"/>
        </w:rPr>
        <w:t>„Ve chvílích, kdy nemarkujete, může se na něm zobrazovat reklama. Investice do pořízení displeje se díky tomu rychle vrátí, a ještě navíc si zajistíte pravidelný příjem,“</w:t>
      </w: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  <w:t xml:space="preserve"> radí Michal Wantulok.</w:t>
      </w:r>
    </w:p>
    <w:p w14:paraId="3AEE7C98" w14:textId="6EAF64F9" w:rsidR="00D5685E" w:rsidRPr="00B83422" w:rsidRDefault="00BB1156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val="single"/>
        </w:rPr>
      </w:pPr>
      <w:r w:rsidRPr="00B83422">
        <w:rPr>
          <w:rFonts w:ascii="Helvetica" w:eastAsia="Times New Roman" w:hAnsi="Helvetica" w:cs="Arial Unicode MS"/>
          <w:color w:val="000000"/>
          <w:sz w:val="22"/>
          <w:szCs w:val="22"/>
          <w:u w:val="single"/>
        </w:rPr>
        <w:t xml:space="preserve">Výsledná úspora: V tomto případě je na místě mluvit spíše o výdělku. Ten může činit </w:t>
      </w:r>
      <w:r w:rsidR="00B83422" w:rsidRPr="00B83422">
        <w:rPr>
          <w:rFonts w:ascii="Helvetica" w:eastAsia="Times New Roman" w:hAnsi="Helvetica" w:cs="Arial Unicode MS"/>
          <w:color w:val="000000"/>
          <w:sz w:val="22"/>
          <w:szCs w:val="22"/>
          <w:u w:val="single"/>
        </w:rPr>
        <w:t>jednotky až desítky tisíc korun ročně.</w:t>
      </w:r>
    </w:p>
    <w:p w14:paraId="64BD8459" w14:textId="77777777" w:rsidR="00781F2D" w:rsidRPr="00B83422" w:rsidRDefault="00781F2D" w:rsidP="00351DFA">
      <w:pPr>
        <w:pStyle w:val="Normlnweb"/>
        <w:shd w:val="clear" w:color="auto" w:fill="FFFFFF"/>
        <w:spacing w:before="0" w:beforeAutospacing="0"/>
        <w:jc w:val="both"/>
        <w:rPr>
          <w:rFonts w:ascii="Helvetica" w:eastAsia="Times New Roman" w:hAnsi="Helvetica" w:cs="Arial Unicode MS"/>
          <w:color w:val="000000"/>
          <w:sz w:val="22"/>
          <w:szCs w:val="22"/>
          <w:u w:color="000000"/>
        </w:rPr>
      </w:pPr>
    </w:p>
    <w:p w14:paraId="0B8B426A" w14:textId="77777777" w:rsidR="00D72568" w:rsidRPr="00B83422" w:rsidRDefault="00D72568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</w:p>
    <w:p w14:paraId="04E38066" w14:textId="5A8DC354" w:rsidR="001C223A" w:rsidRPr="00B83422" w:rsidRDefault="001C223A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B83422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14:paraId="26C18C1E" w14:textId="77777777" w:rsidR="001C223A" w:rsidRPr="00B83422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B83422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A29242D" w14:textId="77777777" w:rsidR="001C223A" w:rsidRPr="00B83422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B83422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475DC4EA" w14:textId="77777777" w:rsidR="001C223A" w:rsidRPr="00B83422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B83422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7358146E" w14:textId="77777777" w:rsidR="001C223A" w:rsidRPr="00B83422" w:rsidRDefault="00BC2ABD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B83422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1D6D0462" w14:textId="10CA010B" w:rsidR="00D72568" w:rsidRPr="00B83422" w:rsidRDefault="00D72568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B83422">
        <w:rPr>
          <w:rFonts w:ascii="Arial" w:hAnsi="Arial" w:cs="Arial"/>
          <w:b/>
          <w:bCs/>
          <w:i/>
          <w:sz w:val="18"/>
          <w:szCs w:val="18"/>
        </w:rPr>
        <w:t>Dotykačka s.r.o.</w:t>
      </w:r>
      <w:r w:rsidRPr="00B83422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B83422">
        <w:rPr>
          <w:rFonts w:ascii="Arial" w:hAnsi="Arial" w:cs="Arial"/>
          <w:i/>
          <w:sz w:val="18"/>
          <w:szCs w:val="18"/>
        </w:rPr>
        <w:t>vznikla z dynamicky se rozvíjejícího start-upu v roce 2015 a v současnosti je společnost jedním z lídrů na trhu poskytovatelů pokladních řešení.</w:t>
      </w:r>
      <w:r w:rsidRPr="00B83422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B83422">
        <w:rPr>
          <w:rFonts w:ascii="Arial" w:hAnsi="Arial" w:cs="Arial"/>
          <w:i/>
          <w:sz w:val="18"/>
          <w:szCs w:val="18"/>
        </w:rPr>
        <w:t>Její úspěšná obchodní aplikace</w:t>
      </w:r>
      <w:r w:rsidRPr="00B83422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B83422">
        <w:rPr>
          <w:rFonts w:ascii="Arial" w:hAnsi="Arial" w:cs="Arial"/>
          <w:i/>
          <w:sz w:val="18"/>
          <w:szCs w:val="18"/>
        </w:rPr>
        <w:t xml:space="preserve">vyvinutá na platformě Android představuje plnohodnotnou náhradu složitých a drahých počítačových pokladních systémů a zároveň poskytuje středním a malým podnikatelům komplexní řešení splňující zákonnou povinnost evidence tržeb. Dotykačka s.r.o. v České republice zaměstnává na </w:t>
      </w:r>
      <w:r w:rsidR="00BC2ABD">
        <w:rPr>
          <w:rFonts w:ascii="Arial" w:hAnsi="Arial" w:cs="Arial"/>
          <w:i/>
          <w:sz w:val="18"/>
          <w:szCs w:val="18"/>
        </w:rPr>
        <w:t>šest</w:t>
      </w:r>
      <w:r w:rsidRPr="00B83422">
        <w:rPr>
          <w:rFonts w:ascii="Arial" w:hAnsi="Arial" w:cs="Arial"/>
          <w:i/>
          <w:sz w:val="18"/>
          <w:szCs w:val="18"/>
        </w:rPr>
        <w:t xml:space="preserve"> desítek zaměstnanců a obsluhuje přes </w:t>
      </w:r>
      <w:r w:rsidR="00BC2ABD">
        <w:rPr>
          <w:rFonts w:ascii="Arial" w:hAnsi="Arial" w:cs="Arial"/>
          <w:i/>
          <w:sz w:val="18"/>
          <w:szCs w:val="18"/>
        </w:rPr>
        <w:t>5</w:t>
      </w:r>
      <w:r w:rsidRPr="00B83422">
        <w:rPr>
          <w:rFonts w:ascii="Arial" w:hAnsi="Arial" w:cs="Arial"/>
          <w:i/>
          <w:sz w:val="18"/>
          <w:szCs w:val="18"/>
        </w:rPr>
        <w:t xml:space="preserve"> 000 aktivních uživatelů. Celosvětově si aplikaci Dotykačka stáhlo na svá zařízení přes 40 tisíc uživatelů – nejvíce z ČR, Indonésie, Polska, Německa a dalších zemí. Společnost má obchodní zastoupení po celé České republice, v Praze provozuje moderní showroom. V roce 2016 se firma zařadila mezi Českých 100 Nejlepších. Ocenění získala v kategorii Informační a </w:t>
      </w:r>
      <w:bookmarkStart w:id="0" w:name="_GoBack"/>
      <w:bookmarkEnd w:id="0"/>
      <w:r w:rsidRPr="00B83422">
        <w:rPr>
          <w:rFonts w:ascii="Arial" w:hAnsi="Arial" w:cs="Arial"/>
          <w:i/>
          <w:sz w:val="18"/>
          <w:szCs w:val="18"/>
        </w:rPr>
        <w:t>komunikační technologie.</w:t>
      </w:r>
      <w:r w:rsidR="00BC2ABD">
        <w:rPr>
          <w:rFonts w:ascii="Arial" w:hAnsi="Arial" w:cs="Arial"/>
          <w:i/>
          <w:sz w:val="18"/>
          <w:szCs w:val="18"/>
        </w:rPr>
        <w:t xml:space="preserve"> Zařízení Dotykačka mají certifikát o kybernetické bezpečnosti a ochraně osobních údajů. V roce 2017 také získala označení Poctivá pokladna podnikatele, které na základě testování uděluje Hospodářská komora ČR.</w:t>
      </w:r>
    </w:p>
    <w:p w14:paraId="1514AE7C" w14:textId="064197E6" w:rsidR="00242B0A" w:rsidRPr="00B83422" w:rsidRDefault="00242B0A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</w:p>
    <w:sectPr w:rsidR="00242B0A" w:rsidRPr="00B83422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65FFD" w14:textId="77777777" w:rsidR="00FC6865" w:rsidRDefault="00FC6865" w:rsidP="00242A0C">
      <w:r>
        <w:separator/>
      </w:r>
    </w:p>
  </w:endnote>
  <w:endnote w:type="continuationSeparator" w:id="0">
    <w:p w14:paraId="477D635F" w14:textId="77777777" w:rsidR="00FC6865" w:rsidRDefault="00FC6865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0ACD" w14:textId="77777777" w:rsidR="00FC6865" w:rsidRDefault="00FC6865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B92A" w14:textId="77777777" w:rsidR="00FC6865" w:rsidRPr="00727990" w:rsidRDefault="00FC6865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5403B92A" w14:textId="77777777" w:rsidR="00FC6865" w:rsidRPr="00727990" w:rsidRDefault="00FC6865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8067E" w14:textId="77777777" w:rsidR="00FC6865" w:rsidRPr="00E65579" w:rsidRDefault="00FC6865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0C08067E" w14:textId="77777777" w:rsidR="00FC6865" w:rsidRPr="00E65579" w:rsidRDefault="00FC6865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DB444" w14:textId="77777777" w:rsidR="00FC6865" w:rsidRDefault="00FC6865" w:rsidP="00242A0C">
      <w:r>
        <w:separator/>
      </w:r>
    </w:p>
  </w:footnote>
  <w:footnote w:type="continuationSeparator" w:id="0">
    <w:p w14:paraId="7C2959C9" w14:textId="77777777" w:rsidR="00FC6865" w:rsidRDefault="00FC6865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B186" w14:textId="77777777" w:rsidR="00FC6865" w:rsidRDefault="00FC6865" w:rsidP="00242A0C">
    <w:pPr>
      <w:pStyle w:val="Zhlav"/>
    </w:pPr>
  </w:p>
  <w:p w14:paraId="34404676" w14:textId="2FEBA2D1" w:rsidR="00FC6865" w:rsidRDefault="00FC6865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>
      <w:rPr>
        <w:sz w:val="24"/>
      </w:rPr>
      <w:t>ZPRÁVA</w:t>
    </w:r>
  </w:p>
  <w:p w14:paraId="20DBDC1C" w14:textId="77777777" w:rsidR="00FC6865" w:rsidRPr="005B5D4C" w:rsidRDefault="00FC6865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27B4C"/>
    <w:rsid w:val="000602C9"/>
    <w:rsid w:val="000633D5"/>
    <w:rsid w:val="00064D63"/>
    <w:rsid w:val="00066FA9"/>
    <w:rsid w:val="0007757D"/>
    <w:rsid w:val="000A26CC"/>
    <w:rsid w:val="000A4A1E"/>
    <w:rsid w:val="000A4C46"/>
    <w:rsid w:val="000E7FCE"/>
    <w:rsid w:val="00124C40"/>
    <w:rsid w:val="00126718"/>
    <w:rsid w:val="00195C17"/>
    <w:rsid w:val="0019739A"/>
    <w:rsid w:val="001A1A29"/>
    <w:rsid w:val="001C223A"/>
    <w:rsid w:val="00221C93"/>
    <w:rsid w:val="00237C62"/>
    <w:rsid w:val="00242A0C"/>
    <w:rsid w:val="00242B0A"/>
    <w:rsid w:val="00252805"/>
    <w:rsid w:val="002562C9"/>
    <w:rsid w:val="00274F6B"/>
    <w:rsid w:val="00277B39"/>
    <w:rsid w:val="002B76BC"/>
    <w:rsid w:val="002E5B21"/>
    <w:rsid w:val="00351DFA"/>
    <w:rsid w:val="00353520"/>
    <w:rsid w:val="003620DF"/>
    <w:rsid w:val="0037751D"/>
    <w:rsid w:val="003A63AF"/>
    <w:rsid w:val="003A6AA9"/>
    <w:rsid w:val="003C1A05"/>
    <w:rsid w:val="003C6124"/>
    <w:rsid w:val="00403D4C"/>
    <w:rsid w:val="0042424F"/>
    <w:rsid w:val="00430FC4"/>
    <w:rsid w:val="004430C7"/>
    <w:rsid w:val="0046303A"/>
    <w:rsid w:val="004706FD"/>
    <w:rsid w:val="004742D5"/>
    <w:rsid w:val="004836B6"/>
    <w:rsid w:val="004876F4"/>
    <w:rsid w:val="004929A7"/>
    <w:rsid w:val="00497B1B"/>
    <w:rsid w:val="004D17EA"/>
    <w:rsid w:val="005026C4"/>
    <w:rsid w:val="00541105"/>
    <w:rsid w:val="00590ABE"/>
    <w:rsid w:val="00591D3C"/>
    <w:rsid w:val="00595C1A"/>
    <w:rsid w:val="005A5F71"/>
    <w:rsid w:val="005B5D4C"/>
    <w:rsid w:val="005C0DFF"/>
    <w:rsid w:val="005E1405"/>
    <w:rsid w:val="005E29A7"/>
    <w:rsid w:val="005F516F"/>
    <w:rsid w:val="0060026E"/>
    <w:rsid w:val="00600B9A"/>
    <w:rsid w:val="00614BEB"/>
    <w:rsid w:val="00621441"/>
    <w:rsid w:val="006310E6"/>
    <w:rsid w:val="00645CB7"/>
    <w:rsid w:val="006666CB"/>
    <w:rsid w:val="00683DBD"/>
    <w:rsid w:val="006951B1"/>
    <w:rsid w:val="006A56A6"/>
    <w:rsid w:val="007146CB"/>
    <w:rsid w:val="00727990"/>
    <w:rsid w:val="00730EFE"/>
    <w:rsid w:val="007321E2"/>
    <w:rsid w:val="007357CC"/>
    <w:rsid w:val="0077528E"/>
    <w:rsid w:val="00781F2D"/>
    <w:rsid w:val="007B0FD1"/>
    <w:rsid w:val="007B1EF4"/>
    <w:rsid w:val="007B448E"/>
    <w:rsid w:val="007C0F06"/>
    <w:rsid w:val="007D307D"/>
    <w:rsid w:val="007F58F4"/>
    <w:rsid w:val="007F657F"/>
    <w:rsid w:val="008010D1"/>
    <w:rsid w:val="0080591F"/>
    <w:rsid w:val="00810D5A"/>
    <w:rsid w:val="008137AD"/>
    <w:rsid w:val="008150D7"/>
    <w:rsid w:val="0081760F"/>
    <w:rsid w:val="00820BBB"/>
    <w:rsid w:val="00836C0F"/>
    <w:rsid w:val="008724A0"/>
    <w:rsid w:val="00897778"/>
    <w:rsid w:val="008C1687"/>
    <w:rsid w:val="008C53B2"/>
    <w:rsid w:val="008F5CEA"/>
    <w:rsid w:val="0092044C"/>
    <w:rsid w:val="009214A8"/>
    <w:rsid w:val="009262E8"/>
    <w:rsid w:val="00951F03"/>
    <w:rsid w:val="00956B1B"/>
    <w:rsid w:val="00982C78"/>
    <w:rsid w:val="00995606"/>
    <w:rsid w:val="009A42B7"/>
    <w:rsid w:val="009D44DA"/>
    <w:rsid w:val="00A02918"/>
    <w:rsid w:val="00A657C3"/>
    <w:rsid w:val="00A671DF"/>
    <w:rsid w:val="00A93454"/>
    <w:rsid w:val="00AC1B6E"/>
    <w:rsid w:val="00AC207D"/>
    <w:rsid w:val="00AF04A7"/>
    <w:rsid w:val="00AF30C8"/>
    <w:rsid w:val="00B10762"/>
    <w:rsid w:val="00B16539"/>
    <w:rsid w:val="00B16A52"/>
    <w:rsid w:val="00B45E11"/>
    <w:rsid w:val="00B707F4"/>
    <w:rsid w:val="00B83422"/>
    <w:rsid w:val="00BA5DB9"/>
    <w:rsid w:val="00BB1156"/>
    <w:rsid w:val="00BC2ABD"/>
    <w:rsid w:val="00BC3E41"/>
    <w:rsid w:val="00BC5DDA"/>
    <w:rsid w:val="00C06A20"/>
    <w:rsid w:val="00C0725A"/>
    <w:rsid w:val="00C44570"/>
    <w:rsid w:val="00C46572"/>
    <w:rsid w:val="00C537CB"/>
    <w:rsid w:val="00C55CF5"/>
    <w:rsid w:val="00CB2DD3"/>
    <w:rsid w:val="00D03D65"/>
    <w:rsid w:val="00D46CCE"/>
    <w:rsid w:val="00D5685E"/>
    <w:rsid w:val="00D61CC6"/>
    <w:rsid w:val="00D649D0"/>
    <w:rsid w:val="00D72568"/>
    <w:rsid w:val="00D8254E"/>
    <w:rsid w:val="00D965E7"/>
    <w:rsid w:val="00DD6A84"/>
    <w:rsid w:val="00E005D6"/>
    <w:rsid w:val="00E04F97"/>
    <w:rsid w:val="00E07C2E"/>
    <w:rsid w:val="00E3630B"/>
    <w:rsid w:val="00E46C06"/>
    <w:rsid w:val="00E50067"/>
    <w:rsid w:val="00E65579"/>
    <w:rsid w:val="00EC71EE"/>
    <w:rsid w:val="00EE3A19"/>
    <w:rsid w:val="00F03DF9"/>
    <w:rsid w:val="00F22207"/>
    <w:rsid w:val="00F455DC"/>
    <w:rsid w:val="00F51A27"/>
    <w:rsid w:val="00F91A32"/>
    <w:rsid w:val="00F92AA0"/>
    <w:rsid w:val="00FB626E"/>
    <w:rsid w:val="00FC6865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669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7</cp:revision>
  <dcterms:created xsi:type="dcterms:W3CDTF">2017-01-30T14:47:00Z</dcterms:created>
  <dcterms:modified xsi:type="dcterms:W3CDTF">2017-02-01T10:45:00Z</dcterms:modified>
</cp:coreProperties>
</file>