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6482" w14:textId="77777777" w:rsidR="00242B0A" w:rsidRPr="00277B39" w:rsidRDefault="003A6AA9" w:rsidP="00351DFA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 w:val="32"/>
          <w:lang w:val="cs-CZ"/>
        </w:rPr>
      </w:pPr>
      <w:r w:rsidRPr="00277B39">
        <w:rPr>
          <w:b/>
          <w:bCs/>
          <w:color w:val="000000"/>
          <w:sz w:val="32"/>
          <w:lang w:val="cs-CZ"/>
        </w:rPr>
        <w:t>5 způsobů, ja</w:t>
      </w:r>
      <w:bookmarkStart w:id="0" w:name="_GoBack"/>
      <w:bookmarkEnd w:id="0"/>
      <w:r w:rsidRPr="00277B39">
        <w:rPr>
          <w:b/>
          <w:bCs/>
          <w:color w:val="000000"/>
          <w:sz w:val="32"/>
          <w:lang w:val="cs-CZ"/>
        </w:rPr>
        <w:t>k obejít EET. Vyplatí se</w:t>
      </w:r>
      <w:r w:rsidR="006310E6">
        <w:rPr>
          <w:b/>
          <w:bCs/>
          <w:color w:val="000000"/>
          <w:sz w:val="32"/>
          <w:lang w:val="cs-CZ"/>
        </w:rPr>
        <w:t xml:space="preserve"> to</w:t>
      </w:r>
      <w:r w:rsidRPr="00277B39">
        <w:rPr>
          <w:b/>
          <w:bCs/>
          <w:color w:val="000000"/>
          <w:sz w:val="32"/>
          <w:lang w:val="cs-CZ"/>
        </w:rPr>
        <w:t>?</w:t>
      </w:r>
    </w:p>
    <w:p w14:paraId="1A159703" w14:textId="1EE7A68D" w:rsidR="00242B0A" w:rsidRPr="00277B39" w:rsidRDefault="0081760F" w:rsidP="00351DFA">
      <w:pPr>
        <w:spacing w:after="100" w:afterAutospacing="1"/>
        <w:jc w:val="both"/>
        <w:rPr>
          <w:szCs w:val="18"/>
          <w:lang w:val="cs-CZ"/>
        </w:rPr>
      </w:pPr>
      <w:r w:rsidRPr="00277B39">
        <w:rPr>
          <w:szCs w:val="18"/>
          <w:lang w:val="cs-CZ"/>
        </w:rPr>
        <w:t xml:space="preserve">Praha, </w:t>
      </w:r>
      <w:r w:rsidR="00244DF0">
        <w:rPr>
          <w:szCs w:val="18"/>
          <w:lang w:val="cs-CZ"/>
        </w:rPr>
        <w:t>5. září</w:t>
      </w:r>
      <w:r w:rsidR="00242B0A" w:rsidRPr="00277B39">
        <w:rPr>
          <w:szCs w:val="18"/>
          <w:lang w:val="cs-CZ"/>
        </w:rPr>
        <w:t xml:space="preserve"> 2016</w:t>
      </w:r>
    </w:p>
    <w:p w14:paraId="494F0204" w14:textId="77777777" w:rsidR="007B0FD1" w:rsidRPr="00277B39" w:rsidRDefault="006310E6" w:rsidP="00351DFA">
      <w:pPr>
        <w:pStyle w:val="Nadpis3"/>
        <w:shd w:val="clear" w:color="auto" w:fill="FFFFFF"/>
        <w:spacing w:after="100" w:afterAutospacing="1" w:line="240" w:lineRule="auto"/>
        <w:jc w:val="both"/>
        <w:rPr>
          <w:rStyle w:val="Siln"/>
          <w:bCs/>
          <w:sz w:val="22"/>
          <w:lang w:val="cs-CZ"/>
        </w:rPr>
      </w:pPr>
      <w:r>
        <w:rPr>
          <w:rStyle w:val="Siln"/>
          <w:sz w:val="22"/>
          <w:szCs w:val="22"/>
          <w:lang w:val="cs-CZ"/>
        </w:rPr>
        <w:t>Způsobů</w:t>
      </w:r>
      <w:r w:rsidR="003A6AA9" w:rsidRPr="00277B39">
        <w:rPr>
          <w:rStyle w:val="Siln"/>
          <w:sz w:val="22"/>
          <w:szCs w:val="22"/>
          <w:lang w:val="cs-CZ"/>
        </w:rPr>
        <w:t xml:space="preserve">, jak se </w:t>
      </w:r>
      <w:r>
        <w:rPr>
          <w:rStyle w:val="Siln"/>
          <w:sz w:val="22"/>
          <w:szCs w:val="22"/>
          <w:lang w:val="cs-CZ"/>
        </w:rPr>
        <w:t xml:space="preserve">podnikatelé připravují </w:t>
      </w:r>
      <w:r w:rsidR="003A6AA9" w:rsidRPr="00277B39">
        <w:rPr>
          <w:rStyle w:val="Siln"/>
          <w:sz w:val="22"/>
          <w:szCs w:val="22"/>
          <w:lang w:val="cs-CZ"/>
        </w:rPr>
        <w:t xml:space="preserve">na blížící </w:t>
      </w:r>
      <w:r w:rsidR="000602C9" w:rsidRPr="00277B39">
        <w:rPr>
          <w:rStyle w:val="Siln"/>
          <w:sz w:val="22"/>
          <w:szCs w:val="22"/>
          <w:lang w:val="cs-CZ"/>
        </w:rPr>
        <w:t>se elektronickou evidenci tržeb</w:t>
      </w:r>
      <w:r w:rsidR="00F22207" w:rsidRPr="00277B39">
        <w:rPr>
          <w:rStyle w:val="Siln"/>
          <w:sz w:val="22"/>
          <w:szCs w:val="22"/>
          <w:lang w:val="cs-CZ"/>
        </w:rPr>
        <w:t xml:space="preserve"> (EET)</w:t>
      </w:r>
      <w:r w:rsidR="000602C9" w:rsidRPr="00277B39">
        <w:rPr>
          <w:rStyle w:val="Siln"/>
          <w:sz w:val="22"/>
          <w:szCs w:val="22"/>
          <w:lang w:val="cs-CZ"/>
        </w:rPr>
        <w:t xml:space="preserve">, </w:t>
      </w:r>
      <w:r>
        <w:rPr>
          <w:rStyle w:val="Siln"/>
          <w:sz w:val="22"/>
          <w:szCs w:val="22"/>
          <w:lang w:val="cs-CZ"/>
        </w:rPr>
        <w:t>je několik</w:t>
      </w:r>
      <w:r w:rsidR="00F22207" w:rsidRPr="00277B39">
        <w:rPr>
          <w:rStyle w:val="Siln"/>
          <w:sz w:val="22"/>
          <w:szCs w:val="22"/>
          <w:lang w:val="cs-CZ"/>
        </w:rPr>
        <w:t xml:space="preserve">. </w:t>
      </w:r>
      <w:r>
        <w:rPr>
          <w:rStyle w:val="Siln"/>
          <w:sz w:val="22"/>
          <w:szCs w:val="22"/>
          <w:lang w:val="cs-CZ"/>
        </w:rPr>
        <w:t>První část z nich si vybírá nebo už vybrala pokladní systém připravený na EET</w:t>
      </w:r>
      <w:r w:rsidR="000602C9" w:rsidRPr="00277B39">
        <w:rPr>
          <w:rStyle w:val="Siln"/>
          <w:sz w:val="22"/>
          <w:szCs w:val="22"/>
          <w:lang w:val="cs-CZ"/>
        </w:rPr>
        <w:t xml:space="preserve">. Druhá </w:t>
      </w:r>
      <w:r w:rsidR="00F22207" w:rsidRPr="00277B39">
        <w:rPr>
          <w:rStyle w:val="Siln"/>
          <w:sz w:val="22"/>
          <w:szCs w:val="22"/>
          <w:lang w:val="cs-CZ"/>
        </w:rPr>
        <w:t>část typicky „po česku“ vyčkává</w:t>
      </w:r>
      <w:r w:rsidR="00982C78">
        <w:rPr>
          <w:rStyle w:val="Siln"/>
          <w:sz w:val="22"/>
          <w:szCs w:val="22"/>
          <w:lang w:val="cs-CZ"/>
        </w:rPr>
        <w:t>,</w:t>
      </w:r>
      <w:r>
        <w:rPr>
          <w:rStyle w:val="Siln"/>
          <w:sz w:val="22"/>
          <w:szCs w:val="22"/>
          <w:lang w:val="cs-CZ"/>
        </w:rPr>
        <w:t xml:space="preserve"> jak to vyřeší ostatní</w:t>
      </w:r>
      <w:r w:rsidR="00982C78">
        <w:rPr>
          <w:rStyle w:val="Siln"/>
          <w:sz w:val="22"/>
          <w:szCs w:val="22"/>
          <w:lang w:val="cs-CZ"/>
        </w:rPr>
        <w:t>,</w:t>
      </w:r>
      <w:r w:rsidR="00F22207" w:rsidRPr="00277B39">
        <w:rPr>
          <w:rStyle w:val="Siln"/>
          <w:sz w:val="22"/>
          <w:szCs w:val="22"/>
          <w:lang w:val="cs-CZ"/>
        </w:rPr>
        <w:t xml:space="preserve"> a třetí </w:t>
      </w:r>
      <w:r w:rsidR="000602C9" w:rsidRPr="00277B39">
        <w:rPr>
          <w:rStyle w:val="Siln"/>
          <w:sz w:val="22"/>
          <w:szCs w:val="22"/>
          <w:lang w:val="cs-CZ"/>
        </w:rPr>
        <w:t xml:space="preserve">se snaží najít způsoby, jak nově vzniklou povinnost obejít. </w:t>
      </w:r>
      <w:r w:rsidR="00277B39" w:rsidRPr="00277B39">
        <w:rPr>
          <w:rStyle w:val="Siln"/>
          <w:sz w:val="22"/>
          <w:szCs w:val="22"/>
          <w:lang w:val="cs-CZ"/>
        </w:rPr>
        <w:t>Jaké zaručené rady jsou a nejsou</w:t>
      </w:r>
      <w:r w:rsidR="00F22207" w:rsidRPr="00277B39">
        <w:rPr>
          <w:rStyle w:val="Siln"/>
          <w:sz w:val="22"/>
          <w:szCs w:val="22"/>
          <w:lang w:val="cs-CZ"/>
        </w:rPr>
        <w:t xml:space="preserve"> zavádějící? Podívali jsme se na několik teoretických možností co nejobjektivněji. </w:t>
      </w:r>
    </w:p>
    <w:p w14:paraId="770D2892" w14:textId="77777777" w:rsidR="00277B39" w:rsidRPr="00351DFA" w:rsidRDefault="00277B39" w:rsidP="00351DFA">
      <w:pPr>
        <w:spacing w:after="100" w:afterAutospacing="1" w:line="240" w:lineRule="auto"/>
        <w:jc w:val="both"/>
        <w:rPr>
          <w:color w:val="000000"/>
          <w:sz w:val="22"/>
          <w:szCs w:val="22"/>
          <w:lang w:val="cs-CZ"/>
        </w:rPr>
      </w:pPr>
      <w:r w:rsidRPr="00277B3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„S dotazy na to, jak lze systém EET obejít, se u nás v showroomu i na infolince </w:t>
      </w:r>
      <w:r w:rsid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průběžně </w:t>
      </w:r>
      <w:r w:rsidRPr="00277B3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setkáváme. Sami jsme se proto rozhodli důsledně zapátrat, jaké jsou možnosti. Výsledek je takový, že s obcházením EET je to zhruba stejné jako s jízdou „na černo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“</w:t>
      </w:r>
      <w:r w:rsidRPr="00277B3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v MHD. Musíte počítat s tím, že vás dřív nebo později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chytí</w:t>
      </w:r>
      <w:r w:rsidRPr="00277B3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, a být připraveni nést následky,“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>
        <w:rPr>
          <w:color w:val="000000"/>
          <w:sz w:val="22"/>
          <w:szCs w:val="22"/>
          <w:lang w:val="cs-CZ"/>
        </w:rPr>
        <w:t>říká</w:t>
      </w:r>
      <w:r w:rsidRPr="00277B39">
        <w:rPr>
          <w:color w:val="000000"/>
          <w:sz w:val="22"/>
          <w:szCs w:val="22"/>
          <w:lang w:val="cs-CZ"/>
        </w:rPr>
        <w:t xml:space="preserve"> Michal Wantulok, manažer pro vnější komunikaci společnosti Dotykačka.</w:t>
      </w:r>
    </w:p>
    <w:p w14:paraId="4EDA5011" w14:textId="77777777" w:rsidR="00351DFA" w:rsidRDefault="00351DFA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Možnost</w:t>
      </w:r>
      <w:r w:rsidRPr="00351DFA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 1: </w:t>
      </w:r>
      <w:r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>„</w:t>
      </w:r>
      <w:r w:rsidR="00353520"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>Bezpapírový</w:t>
      </w:r>
      <w:r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>“</w:t>
      </w:r>
      <w:r w:rsidR="00353520"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 xml:space="preserve"> byznys</w:t>
      </w:r>
    </w:p>
    <w:p w14:paraId="283E6CBA" w14:textId="77777777" w:rsidR="00C46572" w:rsidRDefault="00351DFA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Lákavá možnost především v začátcí</w:t>
      </w:r>
      <w:r w:rsidR="00C46572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ch podnikání – zkusit to jen tak neoficiálně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, 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bez živnostenského listu</w:t>
      </w:r>
      <w:r w:rsidR="00353520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,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a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tedy bez evidence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. </w:t>
      </w:r>
    </w:p>
    <w:p w14:paraId="7DDDD928" w14:textId="173383F0" w:rsidR="000602C9" w:rsidRPr="000602C9" w:rsidRDefault="00C46572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C4657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„Tenhle </w:t>
      </w:r>
      <w:r w:rsidR="006310E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</w:t>
      </w:r>
      <w:r w:rsidRPr="00C4657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punkový</w:t>
      </w:r>
      <w:r w:rsidR="006310E6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“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přístup </w:t>
      </w:r>
      <w:r w:rsidRPr="00C4657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má hned dva</w:t>
      </w:r>
      <w:r w:rsidR="0035352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až tři</w:t>
      </w:r>
      <w:r w:rsidRPr="00C4657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velké háčky: Za neoprávněné podnikání hrozí 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velké sankce nejen z pohledu samotné EET, ale rovněž podle živnostenského zákona</w:t>
      </w:r>
      <w:r w:rsidR="00244DF0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. P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ro fyzické osoby v určitých přípa</w:t>
      </w:r>
      <w:r w:rsidRPr="00C4657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dech i podle trestního zákoníku,“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varuje Michal Wantulok.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</w:p>
    <w:p w14:paraId="42E0DF93" w14:textId="77777777" w:rsidR="00C46572" w:rsidRDefault="00C46572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C4657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Možné sankce: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Pokud živnostenský úřad při své kontrole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odhalí neoprávněné podnikání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, může v případě volné živnosti uložit pokutu až 50 000 </w:t>
      </w:r>
      <w:r w:rsidR="00353520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Kč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, u živnosti řemesl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né či vázané až 100 000 </w:t>
      </w:r>
      <w:r w:rsidR="00353520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Kč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,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u koncesované živnosti dokonce až 200 000 </w:t>
      </w:r>
      <w:r w:rsidR="00353520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Kč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. To platí i o provozování činnosti mimo rámec uděleného živnostenského oprávnění. </w:t>
      </w:r>
    </w:p>
    <w:p w14:paraId="47EDD09C" w14:textId="77777777" w:rsidR="000602C9" w:rsidRPr="000602C9" w:rsidRDefault="00C46572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Při neoprávněném podnikání většího rozsahu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může hrozit i trestní postih podle paragrafu 118 trestního zákoníku. Pak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je ve hře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až ro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ční vězení či peněžitý trest. V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případě získání značného prospěchu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mohou být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tresty ještě tvrdší. </w:t>
      </w:r>
    </w:p>
    <w:p w14:paraId="0968D215" w14:textId="77777777" w:rsidR="000602C9" w:rsidRPr="000602C9" w:rsidRDefault="00C46572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 w:rsidRPr="00C4657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Možnost 2: Dvě pokladny</w:t>
      </w:r>
    </w:p>
    <w:p w14:paraId="15502834" w14:textId="77777777" w:rsidR="008F5CEA" w:rsidRDefault="008F5CEA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8F5CEA">
        <w:rPr>
          <w:rFonts w:ascii="Helvetica" w:eastAsia="Times New Roman" w:hAnsi="Helvetica" w:cs="Arial Unicode MS"/>
          <w:bCs/>
          <w:color w:val="000000"/>
          <w:sz w:val="22"/>
          <w:szCs w:val="22"/>
          <w:u w:color="000000"/>
          <w:lang w:val="cs-CZ" w:eastAsia="cs-CZ"/>
        </w:rPr>
        <w:t>P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oužívat dvě různé pokladny</w:t>
      </w:r>
      <w:r w:rsidR="00982C78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,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a tím před úřady tajit část svých příjmů</w:t>
      </w:r>
      <w:r w:rsidR="00982C78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,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může znít lákavě</w:t>
      </w:r>
      <w:r w:rsidR="00982C78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.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982C78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O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pět tu </w:t>
      </w:r>
      <w:r w:rsidR="00982C78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ale je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několik 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rizik. </w:t>
      </w:r>
    </w:p>
    <w:p w14:paraId="3F230BB0" w14:textId="77777777" w:rsidR="003C6124" w:rsidRDefault="008F5CEA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„I kdybyste měli štěstí a </w:t>
      </w:r>
      <w:r w:rsidR="003C612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vyhnula se vám</w:t>
      </w: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neohlášená kontrola Finanční správy, může vás odhalit tzv. křížová kontrola Ministerstva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financí</w:t>
      </w: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. Ú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ředníci </w:t>
      </w: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při ní budou 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porovnávat d</w:t>
      </w: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ata nasbíraná napříč segmentem a ti, kdo budou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výrazněji vybočo</w:t>
      </w: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vat, se automaticky stanou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podezřelým</w:t>
      </w: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i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.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Vzhledem k plošné aplikaci EET bude mít Finanční správa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3C612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vstupních dat 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pro relevantní srovnání víc než dost</w:t>
      </w:r>
      <w:r w:rsidRPr="008F5CE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,“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3C6124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upozorňuje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Michal Wantulok</w:t>
      </w:r>
      <w:r w:rsidR="003C6124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.</w:t>
      </w:r>
    </w:p>
    <w:p w14:paraId="3E842CA3" w14:textId="77777777" w:rsidR="000602C9" w:rsidRPr="000602C9" w:rsidRDefault="003C6124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Nad rámec úředních kontrol pak staví ještě jedno nebezpečí: </w:t>
      </w:r>
      <w:r w:rsidRPr="003C612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„V neposlední řadě je třeba mít na paměti, že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podnikatelské komunity jsou v Česku velmi malé a všichni se dobře znají. Snaha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lastRenderedPageBreak/>
        <w:t xml:space="preserve">obcházet EET se díky tomu snadno rozkřikne a dobře mířené udání pak snadno sestřelí i </w:t>
      </w:r>
      <w:r w:rsidRPr="003C612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ty, kterým se 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oficiální kontroly do té doby vyhýbaly.“</w:t>
      </w:r>
    </w:p>
    <w:p w14:paraId="6FB150EA" w14:textId="77777777" w:rsidR="003C6124" w:rsidRDefault="003C6124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>Možnost 3: Nefunkční internet</w:t>
      </w:r>
      <w:r w:rsidR="000602C9" w:rsidRPr="000602C9"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 xml:space="preserve"> </w:t>
      </w:r>
    </w:p>
    <w:p w14:paraId="007A09D6" w14:textId="77777777" w:rsidR="00353520" w:rsidRDefault="00353520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Vymlouvat se na padající internetové připojení?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Na první pohled možná nadějná varianta</w:t>
      </w:r>
      <w:r w:rsidR="00430FC4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. Už na dru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hý pohled </w:t>
      </w:r>
      <w:r w:rsidR="00430FC4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má ale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trhliny.</w:t>
      </w:r>
    </w:p>
    <w:p w14:paraId="64D80EB6" w14:textId="77777777" w:rsidR="000602C9" w:rsidRPr="000602C9" w:rsidRDefault="00353520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„EET zaprvé není podmíněna funkčním internetem</w:t>
      </w:r>
      <w:r w:rsidR="00C06A20"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. Účtenku je možné </w:t>
      </w:r>
      <w:r w:rsidR="00430FC4"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vystavit</w:t>
      </w:r>
      <w:r w:rsidR="00C06A20"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i offline a na zaevidování tržby má podnikatel i při výpadku připo</w:t>
      </w:r>
      <w:r w:rsidR="00430FC4"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jení 48 hodin. A pak je opět potřeba počítat s tím, že 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Finanční správa bude pečlivě srovnávat subjekty obdobné velikosti v daném regionu i segmentu. </w:t>
      </w:r>
      <w:r w:rsidR="00430FC4"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A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bnormality, které systém odhalí, budou </w:t>
      </w:r>
      <w:r w:rsidR="00430FC4"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opět 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fungovat jako</w:t>
      </w:r>
      <w:r w:rsidR="00430FC4" w:rsidRPr="00430FC4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výstražný signál pro úředníky,“</w:t>
      </w:r>
      <w:r w:rsidR="00430FC4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připomíná Michal Wantulok.</w:t>
      </w:r>
    </w:p>
    <w:p w14:paraId="4FB95042" w14:textId="77777777" w:rsidR="00430FC4" w:rsidRDefault="00430FC4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</w:pPr>
      <w:r w:rsidRPr="00430FC4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Možnost 4: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D46CCE"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 xml:space="preserve">Kluby, </w:t>
      </w:r>
      <w:r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>uzavřené spolky</w:t>
      </w:r>
      <w:r w:rsidR="00D46CCE">
        <w:rPr>
          <w:rFonts w:ascii="Helvetica" w:eastAsia="Times New Roman" w:hAnsi="Helvetica" w:cs="Arial Unicode MS"/>
          <w:b/>
          <w:bCs/>
          <w:color w:val="000000"/>
          <w:sz w:val="22"/>
          <w:szCs w:val="22"/>
          <w:u w:color="000000"/>
          <w:lang w:val="cs-CZ" w:eastAsia="cs-CZ"/>
        </w:rPr>
        <w:t>, neziskové organizace</w:t>
      </w:r>
    </w:p>
    <w:p w14:paraId="1348C7C0" w14:textId="77777777" w:rsidR="000602C9" w:rsidRPr="000602C9" w:rsidRDefault="00430FC4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Snažit se maskovat své podnikání uzavřeným spolkem, kam mají přístup jen členové, </w:t>
      </w:r>
      <w:r w:rsidR="00D46CCE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patrně bude lákat mnohé. 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Před klasickou kontrolou to </w:t>
      </w:r>
      <w:r w:rsidR="00D46CCE" w:rsidRPr="00D46CCE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ovšem majitele podniků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D46CCE" w:rsidRPr="00D46CCE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nejspíš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neuchrání, zvláště pokud se takový krok s</w:t>
      </w:r>
      <w:r w:rsidR="00D46CCE" w:rsidRPr="00D46CCE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tane běžnou normou. Kromě toho 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je také velmi </w:t>
      </w:r>
      <w:r w:rsidR="00D46CCE" w:rsidRPr="00D46CCE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snadné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sklouznout do kategorie neoprávněného podnikání, kde už hrozí </w:t>
      </w:r>
      <w:r w:rsidR="00D46CCE" w:rsidRPr="00D46CCE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již zmíněné 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přísné tresty</w:t>
      </w:r>
      <w:r w:rsidR="00D46CCE" w:rsidRPr="00D46CCE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. </w:t>
      </w:r>
    </w:p>
    <w:p w14:paraId="6A23C712" w14:textId="77777777" w:rsidR="000602C9" w:rsidRDefault="00D46CCE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Východisko z EET podle všeho neposkytnou ani neziskové organizace, které jsou od EET zdánlivě osvobozeny. </w:t>
      </w:r>
      <w:r w:rsidRPr="00D46CC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„Osvobození se podle dosavadního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výkladu </w:t>
      </w:r>
      <w:r w:rsidRPr="00D46CC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Mi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nisterstva financí vztahuje </w:t>
      </w:r>
      <w:r w:rsidRPr="00D46CC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pouze</w:t>
      </w:r>
      <w:r w:rsidR="000602C9" w:rsidRPr="00060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na hlavní nepodnikatelskou činnost. </w:t>
      </w:r>
      <w:r w:rsidRPr="00D46CC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Vše ostatní – například provoz kavárny nebo čajovny, z nichž plyne nějaký zisk – pochopitelně e-tržbám podléhá,“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upřesňuje Michal Wantulok.</w:t>
      </w:r>
      <w:r w:rsidR="000602C9" w:rsidRPr="000602C9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</w:p>
    <w:p w14:paraId="7998F1D3" w14:textId="77777777" w:rsidR="007357CC" w:rsidRPr="000602C9" w:rsidRDefault="007357CC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 w:rsidRPr="007357CC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Možnost 5: Phantomware v pokladně</w:t>
      </w:r>
    </w:p>
    <w:p w14:paraId="7B822841" w14:textId="77777777" w:rsidR="007357CC" w:rsidRDefault="007357CC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Nejde-li to po dobrém, půjde to po zlém. A poslouží k tomu tzv. phantomware nainstalovaný přímo v pokladně, který umí manipulovat s nahranými daty. Při odesílání dat na Finanční správu </w:t>
      </w:r>
      <w:r w:rsidR="00403D4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třeba dokáže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dražší položky nahradit levnějšími, případně </w:t>
      </w:r>
      <w:r w:rsidR="00403D4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zaevidovat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jen něco. </w:t>
      </w:r>
    </w:p>
    <w:p w14:paraId="4B4F4883" w14:textId="77777777" w:rsidR="005E1405" w:rsidRDefault="007357CC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„Ano, </w:t>
      </w:r>
      <w:r w:rsidR="000633D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s 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touhle </w:t>
      </w:r>
      <w:r w:rsidR="000633D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myšlenkou si 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někteří podnikatelé </w:t>
      </w:r>
      <w:r w:rsidR="000633D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také pohrávají</w:t>
      </w:r>
      <w:r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. </w:t>
      </w:r>
      <w:r w:rsidR="0019739A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 K odhalení tohoto podvodu ale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s</w:t>
      </w:r>
      <w:r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tačí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opravdu málo. Jakmile </w:t>
      </w:r>
      <w:r w:rsidR="00403D4C"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se nějaký 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ze </w:t>
      </w:r>
      <w:r w:rsidR="00403D4C"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zákazník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ů</w:t>
      </w:r>
      <w:r w:rsidR="00403D4C"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rozhodne</w:t>
      </w:r>
      <w:r w:rsidR="00403D4C"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ověřit si FIK kód ze své účtenky</w:t>
      </w:r>
      <w:r w:rsid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a uvedená částka </w:t>
      </w:r>
      <w:r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nebude souhlasit</w:t>
      </w:r>
      <w:r w:rsidR="00403D4C" w:rsidRPr="00403D4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, odhalení je na světě. A s ním i patřičná sankce. Jaká je šance, že to nikdo neudělá? Nebo že se neobjeví kontrola?“</w:t>
      </w:r>
      <w:r w:rsidR="00403D4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ptá se Michal Wantulok. </w:t>
      </w:r>
    </w:p>
    <w:p w14:paraId="3B9DB004" w14:textId="77777777" w:rsidR="00403D4C" w:rsidRPr="005E1405" w:rsidRDefault="006666CB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V</w:t>
      </w:r>
      <w:r w:rsidR="00403D4C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ýsledné skóre?</w:t>
      </w:r>
    </w:p>
    <w:p w14:paraId="2B766EE8" w14:textId="1C452360" w:rsidR="006666CB" w:rsidRDefault="005E1405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S</w:t>
      </w:r>
      <w:r w:rsidR="006666CB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nahy o obejití EET navzdory hrozícím postihům 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určitě </w:t>
      </w:r>
      <w:r w:rsidR="006666CB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nezmizí. Z</w:t>
      </w:r>
      <w:r w:rsidR="00403D4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e všeho výše uvedeného </w:t>
      </w:r>
      <w:r w:rsidR="006666CB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však </w:t>
      </w:r>
      <w:r w:rsidR="00403D4C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vyplývá, že </w:t>
      </w:r>
      <w:r w:rsidR="0019739A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vyhýbání se evidenci tržeb je </w:t>
      </w:r>
      <w:r w:rsidR="00792237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protizákonné a </w:t>
      </w:r>
      <w:r w:rsidR="0019739A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ve většině případů </w:t>
      </w:r>
      <w:r w:rsidR="006310E6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dříve či později </w:t>
      </w:r>
      <w:r w:rsidR="0019739A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snadno odhaliteln</w:t>
      </w:r>
      <w:r w:rsidR="00792237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é</w:t>
      </w:r>
      <w:r w:rsidR="0019739A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.</w:t>
      </w:r>
      <w:r w:rsidR="006666CB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</w:p>
    <w:p w14:paraId="798991DF" w14:textId="77777777" w:rsidR="006666CB" w:rsidRDefault="005E1405" w:rsidP="00351DFA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</w:t>
      </w:r>
      <w:r w:rsidR="006666CB" w:rsidRP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Zajímavé v té souvislosti může být toto: V </w:t>
      </w:r>
      <w:r w:rsidRP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rámci zavádění</w:t>
      </w:r>
      <w:r w:rsidR="006666CB" w:rsidRP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chytrých pokladen máme přímou zkušenost s několika gastronomickými provozy, kde po zavedení Dotykačky skokově narostly tržby o nějakých 20-30 procent. Díky nahrazení papíru a tužek efektivním pokladním systémem se do evidence hotovosti a skladu vnesl absolutní pořádek. Majitel tak získal dokonalý přehled, čímž se odfiltrovaly veškeré nekalé praktiky personálu. Provozovatelům tak </w:t>
      </w:r>
      <w:r w:rsidR="006666CB" w:rsidRP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lastRenderedPageBreak/>
        <w:t>najednou vzrostl zisk a zbyly jim prostředky na veškeré odvody i DPH.</w:t>
      </w:r>
      <w:r w:rsidRPr="005E1405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V tomto světle se dost možná i těm, kteří systém plánovali obejít, vyplatí zvážit respektování pravidel,“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uzavírá Michal Wantulok.</w:t>
      </w:r>
    </w:p>
    <w:p w14:paraId="2DADFED1" w14:textId="77777777" w:rsidR="0077528E" w:rsidRPr="00277B39" w:rsidRDefault="0077528E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15537F" w14:textId="77777777" w:rsidR="001C223A" w:rsidRPr="00277B39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277B39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5830F21F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77B39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8C577EF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7A970282" w14:textId="77777777"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0E482AA4" w14:textId="77777777" w:rsidR="001C223A" w:rsidRPr="005E1405" w:rsidRDefault="002401E5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277B39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0198A156" w14:textId="77777777" w:rsidR="00242B0A" w:rsidRPr="00277B39" w:rsidRDefault="00242B0A" w:rsidP="005E1405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277B39">
        <w:rPr>
          <w:rFonts w:ascii="Arial" w:hAnsi="Arial" w:cs="Arial"/>
          <w:b/>
          <w:bCs/>
          <w:i/>
          <w:sz w:val="18"/>
          <w:szCs w:val="18"/>
        </w:rPr>
        <w:t>Dotykačka</w:t>
      </w:r>
      <w:r w:rsidR="005E1405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277B39">
        <w:rPr>
          <w:rFonts w:ascii="Arial" w:hAnsi="Arial" w:cs="Arial"/>
          <w:b/>
          <w:bCs/>
          <w:i/>
          <w:sz w:val="18"/>
          <w:szCs w:val="18"/>
        </w:rPr>
        <w:t>s.r.o.</w:t>
      </w:r>
      <w:r w:rsidRPr="00277B39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vznikla z dynamicky se rozvíjejícího start-upu v roce 2015.</w:t>
      </w:r>
      <w:r w:rsidRPr="00277B39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Její úspěšná obchodní aplikace</w:t>
      </w:r>
      <w:r w:rsidRPr="00277B39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</w:t>
      </w:r>
      <w:r w:rsidR="004430C7" w:rsidRPr="00277B39">
        <w:rPr>
          <w:rFonts w:ascii="Arial" w:hAnsi="Arial" w:cs="Arial"/>
          <w:i/>
          <w:sz w:val="18"/>
          <w:szCs w:val="18"/>
        </w:rPr>
        <w:t>.</w:t>
      </w:r>
      <w:r w:rsidRPr="00277B39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zaměstnává </w:t>
      </w:r>
      <w:r w:rsidRPr="00277B39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Dotykačka stáhlo na svá zařízení přes 35 000 uživatelů – nejvíce z České republiky, Indonésie, Polska, Německa </w:t>
      </w:r>
      <w:r w:rsidR="004430C7" w:rsidRPr="00277B39">
        <w:rPr>
          <w:rFonts w:ascii="Arial" w:hAnsi="Arial" w:cs="Arial"/>
          <w:i/>
          <w:sz w:val="18"/>
          <w:szCs w:val="18"/>
        </w:rPr>
        <w:t>a dalších zemí. Vedle Prahy a Brna</w:t>
      </w:r>
      <w:r w:rsidRPr="00277B39">
        <w:rPr>
          <w:rFonts w:ascii="Arial" w:hAnsi="Arial" w:cs="Arial"/>
          <w:i/>
          <w:sz w:val="18"/>
          <w:szCs w:val="18"/>
        </w:rPr>
        <w:t xml:space="preserve"> má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Dotykačka </w:t>
      </w:r>
      <w:r w:rsidRPr="00277B39">
        <w:rPr>
          <w:rFonts w:ascii="Arial" w:hAnsi="Arial" w:cs="Arial"/>
          <w:i/>
          <w:sz w:val="18"/>
          <w:szCs w:val="18"/>
        </w:rPr>
        <w:t>obchodní zastoupení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 také</w:t>
      </w:r>
      <w:r w:rsidRPr="00277B39">
        <w:rPr>
          <w:rFonts w:ascii="Arial" w:hAnsi="Arial" w:cs="Arial"/>
          <w:i/>
          <w:sz w:val="18"/>
          <w:szCs w:val="18"/>
        </w:rPr>
        <w:t xml:space="preserve"> v Hradci Králové, Ostravě, Českých Budějovicích a Plzni. V listopadu 2015 otevřela pro zákazníky moderní showroom na pražském Andělu. </w:t>
      </w:r>
    </w:p>
    <w:sectPr w:rsidR="00242B0A" w:rsidRPr="00277B39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09AF" w14:textId="77777777" w:rsidR="00E44723" w:rsidRDefault="00E44723" w:rsidP="00242A0C">
      <w:r>
        <w:separator/>
      </w:r>
    </w:p>
  </w:endnote>
  <w:endnote w:type="continuationSeparator" w:id="0">
    <w:p w14:paraId="2FF550B3" w14:textId="77777777" w:rsidR="00E44723" w:rsidRDefault="00E44723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15ED" w14:textId="77777777"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9322D" w14:textId="77777777"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44A9322D" w14:textId="77777777"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205FD" w14:textId="77777777"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516205FD" w14:textId="77777777"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C8DDB" w14:textId="77777777" w:rsidR="00E44723" w:rsidRDefault="00E44723" w:rsidP="00242A0C">
      <w:r>
        <w:separator/>
      </w:r>
    </w:p>
  </w:footnote>
  <w:footnote w:type="continuationSeparator" w:id="0">
    <w:p w14:paraId="032AE753" w14:textId="77777777" w:rsidR="00E44723" w:rsidRDefault="00E44723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78371" w14:textId="77777777" w:rsidR="005B5D4C" w:rsidRDefault="005B5D4C" w:rsidP="00242A0C">
    <w:pPr>
      <w:pStyle w:val="Zhlav"/>
    </w:pPr>
  </w:p>
  <w:p w14:paraId="545A6608" w14:textId="77777777" w:rsidR="005B5D4C" w:rsidRP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3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5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27B4C"/>
    <w:rsid w:val="000602C9"/>
    <w:rsid w:val="000633D5"/>
    <w:rsid w:val="00064D63"/>
    <w:rsid w:val="00066FA9"/>
    <w:rsid w:val="0007757D"/>
    <w:rsid w:val="000A4C46"/>
    <w:rsid w:val="000E7FCE"/>
    <w:rsid w:val="00124C40"/>
    <w:rsid w:val="00126718"/>
    <w:rsid w:val="00195C17"/>
    <w:rsid w:val="0019739A"/>
    <w:rsid w:val="001A1A29"/>
    <w:rsid w:val="001C223A"/>
    <w:rsid w:val="00221C93"/>
    <w:rsid w:val="00237C62"/>
    <w:rsid w:val="002401E5"/>
    <w:rsid w:val="00242A0C"/>
    <w:rsid w:val="00242B0A"/>
    <w:rsid w:val="00244DF0"/>
    <w:rsid w:val="00274F6B"/>
    <w:rsid w:val="00277B39"/>
    <w:rsid w:val="002B76BC"/>
    <w:rsid w:val="002E5B21"/>
    <w:rsid w:val="00351DFA"/>
    <w:rsid w:val="00353520"/>
    <w:rsid w:val="0037751D"/>
    <w:rsid w:val="003A63AF"/>
    <w:rsid w:val="003A6AA9"/>
    <w:rsid w:val="003C6124"/>
    <w:rsid w:val="00403D4C"/>
    <w:rsid w:val="0042424F"/>
    <w:rsid w:val="00430FC4"/>
    <w:rsid w:val="004430C7"/>
    <w:rsid w:val="0046303A"/>
    <w:rsid w:val="004706FD"/>
    <w:rsid w:val="004742D5"/>
    <w:rsid w:val="004836B6"/>
    <w:rsid w:val="004876F4"/>
    <w:rsid w:val="00497B1B"/>
    <w:rsid w:val="005026C4"/>
    <w:rsid w:val="00541105"/>
    <w:rsid w:val="00591D3C"/>
    <w:rsid w:val="00595C1A"/>
    <w:rsid w:val="005B5D4C"/>
    <w:rsid w:val="005E1405"/>
    <w:rsid w:val="005F516F"/>
    <w:rsid w:val="0060026E"/>
    <w:rsid w:val="00600B9A"/>
    <w:rsid w:val="00621441"/>
    <w:rsid w:val="006310E6"/>
    <w:rsid w:val="00645CB7"/>
    <w:rsid w:val="006666CB"/>
    <w:rsid w:val="00683DBD"/>
    <w:rsid w:val="00727990"/>
    <w:rsid w:val="007357CC"/>
    <w:rsid w:val="0077528E"/>
    <w:rsid w:val="00792237"/>
    <w:rsid w:val="007B0FD1"/>
    <w:rsid w:val="007B448E"/>
    <w:rsid w:val="007C0F06"/>
    <w:rsid w:val="007D307D"/>
    <w:rsid w:val="007F58F4"/>
    <w:rsid w:val="007F657F"/>
    <w:rsid w:val="00810D5A"/>
    <w:rsid w:val="008150D7"/>
    <w:rsid w:val="0081760F"/>
    <w:rsid w:val="00820BBB"/>
    <w:rsid w:val="00836C0F"/>
    <w:rsid w:val="008724A0"/>
    <w:rsid w:val="00897778"/>
    <w:rsid w:val="008C1687"/>
    <w:rsid w:val="008C53B2"/>
    <w:rsid w:val="008F5CEA"/>
    <w:rsid w:val="0092044C"/>
    <w:rsid w:val="00951F03"/>
    <w:rsid w:val="00982C78"/>
    <w:rsid w:val="00995606"/>
    <w:rsid w:val="00A671DF"/>
    <w:rsid w:val="00AF04A7"/>
    <w:rsid w:val="00AF30C8"/>
    <w:rsid w:val="00B10762"/>
    <w:rsid w:val="00B16A52"/>
    <w:rsid w:val="00B45E11"/>
    <w:rsid w:val="00B707F4"/>
    <w:rsid w:val="00BA5DB9"/>
    <w:rsid w:val="00BC3E41"/>
    <w:rsid w:val="00BC5DDA"/>
    <w:rsid w:val="00C06A20"/>
    <w:rsid w:val="00C46572"/>
    <w:rsid w:val="00C537CB"/>
    <w:rsid w:val="00C55CF5"/>
    <w:rsid w:val="00CB2DD3"/>
    <w:rsid w:val="00D03D65"/>
    <w:rsid w:val="00D46CCE"/>
    <w:rsid w:val="00D61CC6"/>
    <w:rsid w:val="00D649D0"/>
    <w:rsid w:val="00D965E7"/>
    <w:rsid w:val="00DD6A84"/>
    <w:rsid w:val="00E005D6"/>
    <w:rsid w:val="00E04F97"/>
    <w:rsid w:val="00E44723"/>
    <w:rsid w:val="00E46C06"/>
    <w:rsid w:val="00E65579"/>
    <w:rsid w:val="00EC71EE"/>
    <w:rsid w:val="00EE3A19"/>
    <w:rsid w:val="00F03DF9"/>
    <w:rsid w:val="00F22207"/>
    <w:rsid w:val="00F92AA0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418232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2</cp:revision>
  <dcterms:created xsi:type="dcterms:W3CDTF">2016-09-05T10:03:00Z</dcterms:created>
  <dcterms:modified xsi:type="dcterms:W3CDTF">2016-09-05T10:03:00Z</dcterms:modified>
</cp:coreProperties>
</file>