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0A" w:rsidRPr="00277B39" w:rsidRDefault="00F91A32" w:rsidP="00351DFA">
      <w:pPr>
        <w:pStyle w:val="Nadpis3"/>
        <w:shd w:val="clear" w:color="auto" w:fill="FFFFFF"/>
        <w:spacing w:after="100" w:afterAutospacing="1"/>
        <w:jc w:val="both"/>
        <w:rPr>
          <w:b/>
          <w:bCs/>
          <w:color w:val="000000"/>
          <w:sz w:val="32"/>
          <w:lang w:val="cs-CZ"/>
        </w:rPr>
      </w:pPr>
      <w:r>
        <w:rPr>
          <w:b/>
          <w:bCs/>
          <w:color w:val="000000"/>
          <w:sz w:val="32"/>
          <w:lang w:val="cs-CZ"/>
        </w:rPr>
        <w:t xml:space="preserve">Vyjádření k tiskové konferenci Ministerstva financí </w:t>
      </w:r>
      <w:r w:rsidR="009262E8">
        <w:rPr>
          <w:b/>
          <w:bCs/>
          <w:color w:val="000000"/>
          <w:sz w:val="32"/>
          <w:lang w:val="cs-CZ"/>
        </w:rPr>
        <w:t xml:space="preserve">ČR </w:t>
      </w:r>
      <w:r w:rsidR="009262E8">
        <w:rPr>
          <w:b/>
          <w:bCs/>
          <w:color w:val="000000"/>
          <w:sz w:val="32"/>
          <w:lang w:val="cs-CZ"/>
        </w:rPr>
        <w:br/>
      </w:r>
      <w:r>
        <w:rPr>
          <w:b/>
          <w:bCs/>
          <w:color w:val="000000"/>
          <w:sz w:val="32"/>
          <w:lang w:val="cs-CZ"/>
        </w:rPr>
        <w:t>o EET z 29. srpna 2016</w:t>
      </w:r>
    </w:p>
    <w:p w:rsidR="00242B0A" w:rsidRPr="00277B39" w:rsidRDefault="00F91A32" w:rsidP="00351DFA">
      <w:pPr>
        <w:spacing w:after="100" w:afterAutospacing="1"/>
        <w:jc w:val="both"/>
        <w:rPr>
          <w:szCs w:val="18"/>
          <w:lang w:val="cs-CZ"/>
        </w:rPr>
      </w:pPr>
      <w:r>
        <w:rPr>
          <w:szCs w:val="18"/>
          <w:lang w:val="cs-CZ"/>
        </w:rPr>
        <w:t>Praha, 29</w:t>
      </w:r>
      <w:r w:rsidR="008150D7" w:rsidRPr="00277B39">
        <w:rPr>
          <w:szCs w:val="18"/>
          <w:lang w:val="cs-CZ"/>
        </w:rPr>
        <w:t>. srpna</w:t>
      </w:r>
      <w:r w:rsidR="00242B0A" w:rsidRPr="00277B39">
        <w:rPr>
          <w:szCs w:val="18"/>
          <w:lang w:val="cs-CZ"/>
        </w:rPr>
        <w:t>. 2016</w:t>
      </w:r>
    </w:p>
    <w:p w:rsidR="007B0FD1" w:rsidRPr="00277B39" w:rsidRDefault="00F91A32" w:rsidP="00351DFA">
      <w:pPr>
        <w:pStyle w:val="Nadpis3"/>
        <w:shd w:val="clear" w:color="auto" w:fill="FFFFFF"/>
        <w:spacing w:after="100" w:afterAutospacing="1" w:line="240" w:lineRule="auto"/>
        <w:jc w:val="both"/>
        <w:rPr>
          <w:rStyle w:val="Siln"/>
          <w:bCs/>
          <w:sz w:val="22"/>
          <w:lang w:val="cs-CZ"/>
        </w:rPr>
      </w:pPr>
      <w:r>
        <w:rPr>
          <w:rStyle w:val="Siln"/>
          <w:sz w:val="22"/>
          <w:szCs w:val="22"/>
          <w:lang w:val="cs-CZ"/>
        </w:rPr>
        <w:t xml:space="preserve">Ministerstvo financí ČR dnes upřesnilo některé záležitosti týkající se elektronické evidence tržeb. Níže uvádíme reakce společnosti </w:t>
      </w:r>
      <w:proofErr w:type="spellStart"/>
      <w:r>
        <w:rPr>
          <w:rStyle w:val="Siln"/>
          <w:sz w:val="22"/>
          <w:szCs w:val="22"/>
          <w:lang w:val="cs-CZ"/>
        </w:rPr>
        <w:t>Dotykačka</w:t>
      </w:r>
      <w:proofErr w:type="spellEnd"/>
      <w:r>
        <w:rPr>
          <w:rStyle w:val="Siln"/>
          <w:sz w:val="22"/>
          <w:szCs w:val="22"/>
          <w:lang w:val="cs-CZ"/>
        </w:rPr>
        <w:t xml:space="preserve"> k jednotlivým bodům, které na tiskové konferenci zazněly. </w:t>
      </w:r>
    </w:p>
    <w:p w:rsidR="009262E8" w:rsidRDefault="00FB626E" w:rsidP="009262E8">
      <w:pPr>
        <w:spacing w:after="100" w:afterAutospacing="1" w:line="240" w:lineRule="auto"/>
        <w:jc w:val="both"/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 xml:space="preserve">1) </w:t>
      </w:r>
      <w:r w:rsidR="009262E8" w:rsidRPr="009262E8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 xml:space="preserve">1. </w:t>
      </w:r>
      <w:r w:rsidR="009262E8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z</w:t>
      </w:r>
      <w:r w:rsidR="009262E8" w:rsidRPr="009262E8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áří 2016 – zásadní mezník v přípravách na EET</w:t>
      </w:r>
    </w:p>
    <w:p w:rsidR="009262E8" w:rsidRPr="008137AD" w:rsidRDefault="009262E8" w:rsidP="00FB626E">
      <w:pPr>
        <w:spacing w:after="100" w:afterAutospacing="1" w:line="240" w:lineRule="auto"/>
        <w:ind w:firstLine="708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 w:rsidRPr="008137AD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Úderem 1. září mohou podnikatelé na Finančních úřadech nebo prostřednictvím datové schránky žádat o </w:t>
      </w:r>
      <w:r w:rsidRPr="00FB626E">
        <w:rPr>
          <w:rFonts w:ascii="Helvetica" w:eastAsia="Times New Roman" w:hAnsi="Helvetica" w:cs="Arial Unicode MS"/>
          <w:color w:val="000000"/>
          <w:sz w:val="22"/>
          <w:szCs w:val="22"/>
          <w:u w:val="single"/>
          <w:lang w:val="cs-CZ" w:eastAsia="cs-CZ"/>
        </w:rPr>
        <w:t>vystavení tzv. autentizačních údajů</w:t>
      </w:r>
      <w:r w:rsidRPr="008137AD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, s jejichž pomocí posléze vygenerují certifikát, který si nahrají do svého pokladního systému.</w:t>
      </w:r>
    </w:p>
    <w:p w:rsidR="009262E8" w:rsidRDefault="00FB626E" w:rsidP="00FB626E">
      <w:pPr>
        <w:spacing w:after="0" w:line="240" w:lineRule="auto"/>
        <w:jc w:val="both"/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</w:pPr>
      <w:r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 xml:space="preserve">Michal Wantulok ze společnosti </w:t>
      </w:r>
      <w:proofErr w:type="spellStart"/>
      <w:r w:rsidR="009262E8"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Dotykačka</w:t>
      </w:r>
      <w:proofErr w:type="spellEnd"/>
      <w:r w:rsidR="009262E8"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 xml:space="preserve">: </w:t>
      </w:r>
      <w:r w:rsidR="002562C9"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Pomůžeme vygenerovat certifikát a nahrát jej do pokladny</w:t>
      </w:r>
    </w:p>
    <w:p w:rsidR="00FB626E" w:rsidRPr="00FB626E" w:rsidRDefault="00FB626E" w:rsidP="00FB626E">
      <w:pPr>
        <w:spacing w:after="0" w:line="240" w:lineRule="auto"/>
        <w:jc w:val="both"/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</w:pPr>
    </w:p>
    <w:p w:rsidR="00F91A32" w:rsidRDefault="009262E8" w:rsidP="00FB626E">
      <w:pPr>
        <w:spacing w:after="100" w:afterAutospacing="1" w:line="240" w:lineRule="auto"/>
        <w:ind w:hanging="1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„</w:t>
      </w:r>
      <w:r w:rsidR="00256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Získat autentizační údaje bude snadné, ovšem vygenerování certifikátu je proces, který pro laiky může být složitý.</w:t>
      </w:r>
      <w:r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8137AD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Chceme podnikatelům přípravy na EET maximálně ulehčit, proto n</w:t>
      </w:r>
      <w:r w:rsidR="00256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ašim zákazníkům při tomto procesu nabídneme asistenci. Zároveň pracujeme na tom, aby způsob nahrání certifikátu do pokladny byl maximálně komfortní a </w:t>
      </w:r>
      <w:r w:rsidR="005A5F71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podnikatelé jej zvládli po vlastní ose,</w:t>
      </w:r>
      <w:r w:rsidR="002562C9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vzdáleně, z pohodlí domova</w:t>
      </w:r>
      <w:r w:rsidR="005A5F71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. I tam ale pochopitelně nabízíme jakoukoli potřebnou technickou podporu</w:t>
      </w:r>
      <w:r w:rsidR="00FB626E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.</w:t>
      </w:r>
      <w:r w:rsidR="00F455DC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“ </w:t>
      </w:r>
    </w:p>
    <w:p w:rsidR="00F455DC" w:rsidRPr="008137AD" w:rsidRDefault="00F455DC" w:rsidP="00FB626E">
      <w:pPr>
        <w:spacing w:after="100" w:afterAutospacing="1" w:line="240" w:lineRule="auto"/>
        <w:ind w:firstLine="708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 w:rsidRPr="008137AD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Od stejného dne mohou podnikatelé žádat Finanční správu o </w:t>
      </w:r>
      <w:r w:rsidRPr="00FB626E">
        <w:rPr>
          <w:rFonts w:ascii="Helvetica" w:eastAsia="Times New Roman" w:hAnsi="Helvetica" w:cs="Arial Unicode MS"/>
          <w:color w:val="000000"/>
          <w:sz w:val="22"/>
          <w:szCs w:val="22"/>
          <w:u w:val="single"/>
          <w:lang w:val="cs-CZ" w:eastAsia="cs-CZ"/>
        </w:rPr>
        <w:t>závazné posouzení k určení evidované tržby</w:t>
      </w:r>
      <w:r w:rsidRPr="008137AD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. Služba vyjde na 1000,- Kč.</w:t>
      </w:r>
    </w:p>
    <w:p w:rsidR="00F455DC" w:rsidRDefault="00FB626E" w:rsidP="00FB626E">
      <w:pPr>
        <w:spacing w:after="0" w:line="240" w:lineRule="auto"/>
        <w:jc w:val="both"/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</w:pPr>
      <w:r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 xml:space="preserve">Michal Wantulok ze společnosti </w:t>
      </w:r>
      <w:proofErr w:type="spellStart"/>
      <w:r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Dotykačka</w:t>
      </w:r>
      <w:proofErr w:type="spellEnd"/>
      <w:r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 xml:space="preserve">: </w:t>
      </w:r>
      <w:r w:rsidR="000A26CC"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Budeme vracet poplatek za závazné posouzení</w:t>
      </w:r>
    </w:p>
    <w:p w:rsidR="00FB626E" w:rsidRPr="00FB626E" w:rsidRDefault="00FB626E" w:rsidP="00FB626E">
      <w:pPr>
        <w:spacing w:after="0" w:line="240" w:lineRule="auto"/>
        <w:jc w:val="both"/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</w:pPr>
      <w:bookmarkStart w:id="0" w:name="_GoBack"/>
      <w:bookmarkEnd w:id="0"/>
    </w:p>
    <w:p w:rsidR="00F455DC" w:rsidRPr="008137AD" w:rsidRDefault="00F455DC" w:rsidP="00FB626E">
      <w:pPr>
        <w:pStyle w:val="Odstavecseseznamem"/>
        <w:spacing w:after="100" w:afterAutospacing="1" w:line="240" w:lineRule="auto"/>
        <w:ind w:left="0"/>
        <w:jc w:val="both"/>
        <w:rPr>
          <w:rFonts w:ascii="Helvetica" w:eastAsia="Times New Roman" w:hAnsi="Helvetica" w:cs="Arial Unicode MS"/>
          <w:b w:val="0"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b w:val="0"/>
          <w:i/>
          <w:color w:val="000000"/>
          <w:sz w:val="22"/>
          <w:szCs w:val="22"/>
          <w:u w:color="000000"/>
          <w:lang w:val="cs-CZ" w:eastAsia="cs-CZ"/>
        </w:rPr>
        <w:t xml:space="preserve">„Podnikatelům, kteří </w:t>
      </w:r>
      <w:r w:rsidR="008137AD">
        <w:rPr>
          <w:rFonts w:ascii="Helvetica" w:eastAsia="Times New Roman" w:hAnsi="Helvetica" w:cs="Arial Unicode MS"/>
          <w:b w:val="0"/>
          <w:i/>
          <w:color w:val="000000"/>
          <w:sz w:val="22"/>
          <w:szCs w:val="22"/>
          <w:u w:color="000000"/>
          <w:lang w:val="cs-CZ" w:eastAsia="cs-CZ"/>
        </w:rPr>
        <w:t>využijí závazného posouzení Finanční správy</w:t>
      </w:r>
      <w:r>
        <w:rPr>
          <w:rFonts w:ascii="Helvetica" w:eastAsia="Times New Roman" w:hAnsi="Helvetica" w:cs="Arial Unicode MS"/>
          <w:b w:val="0"/>
          <w:i/>
          <w:color w:val="000000"/>
          <w:sz w:val="22"/>
          <w:szCs w:val="22"/>
          <w:u w:color="000000"/>
          <w:lang w:val="cs-CZ" w:eastAsia="cs-CZ"/>
        </w:rPr>
        <w:t xml:space="preserve">, vrátíme při nákupu v našem </w:t>
      </w:r>
      <w:proofErr w:type="spellStart"/>
      <w:r>
        <w:rPr>
          <w:rFonts w:ascii="Helvetica" w:eastAsia="Times New Roman" w:hAnsi="Helvetica" w:cs="Arial Unicode MS"/>
          <w:b w:val="0"/>
          <w:i/>
          <w:color w:val="000000"/>
          <w:sz w:val="22"/>
          <w:szCs w:val="22"/>
          <w:u w:color="000000"/>
          <w:lang w:val="cs-CZ" w:eastAsia="cs-CZ"/>
        </w:rPr>
        <w:t>showroomu</w:t>
      </w:r>
      <w:proofErr w:type="spellEnd"/>
      <w:r>
        <w:rPr>
          <w:rFonts w:ascii="Helvetica" w:eastAsia="Times New Roman" w:hAnsi="Helvetica" w:cs="Arial Unicode MS"/>
          <w:b w:val="0"/>
          <w:i/>
          <w:color w:val="000000"/>
          <w:sz w:val="22"/>
          <w:szCs w:val="22"/>
          <w:u w:color="000000"/>
          <w:lang w:val="cs-CZ" w:eastAsia="cs-CZ"/>
        </w:rPr>
        <w:t xml:space="preserve"> jejich </w:t>
      </w:r>
      <w:r w:rsidR="000A26CC">
        <w:rPr>
          <w:rFonts w:ascii="Helvetica" w:eastAsia="Times New Roman" w:hAnsi="Helvetica" w:cs="Arial Unicode MS"/>
          <w:b w:val="0"/>
          <w:i/>
          <w:color w:val="000000"/>
          <w:sz w:val="22"/>
          <w:szCs w:val="22"/>
          <w:u w:color="000000"/>
          <w:lang w:val="cs-CZ" w:eastAsia="cs-CZ"/>
        </w:rPr>
        <w:t xml:space="preserve">tisícikorunový poplatek. </w:t>
      </w:r>
      <w:r w:rsidR="008137AD">
        <w:rPr>
          <w:rFonts w:ascii="Helvetica" w:eastAsia="Times New Roman" w:hAnsi="Helvetica" w:cs="Arial Unicode MS"/>
          <w:b w:val="0"/>
          <w:i/>
          <w:color w:val="000000"/>
          <w:sz w:val="22"/>
          <w:szCs w:val="22"/>
          <w:u w:color="000000"/>
          <w:lang w:val="cs-CZ" w:eastAsia="cs-CZ"/>
        </w:rPr>
        <w:t>S využitím daňového odpočtu pro fyzické osoby se tak jejich investice do pořízení pokladního systému pro EET může poh</w:t>
      </w:r>
      <w:r w:rsidR="00FB626E">
        <w:rPr>
          <w:rFonts w:ascii="Helvetica" w:eastAsia="Times New Roman" w:hAnsi="Helvetica" w:cs="Arial Unicode MS"/>
          <w:b w:val="0"/>
          <w:i/>
          <w:color w:val="000000"/>
          <w:sz w:val="22"/>
          <w:szCs w:val="22"/>
          <w:u w:color="000000"/>
          <w:lang w:val="cs-CZ" w:eastAsia="cs-CZ"/>
        </w:rPr>
        <w:t>ybovat v jednotkách tisíc korun.</w:t>
      </w:r>
      <w:r w:rsidR="008137AD">
        <w:rPr>
          <w:rFonts w:ascii="Helvetica" w:eastAsia="Times New Roman" w:hAnsi="Helvetica" w:cs="Arial Unicode MS"/>
          <w:b w:val="0"/>
          <w:i/>
          <w:color w:val="000000"/>
          <w:sz w:val="22"/>
          <w:szCs w:val="22"/>
          <w:u w:color="000000"/>
          <w:lang w:val="cs-CZ" w:eastAsia="cs-CZ"/>
        </w:rPr>
        <w:t xml:space="preserve">“ </w:t>
      </w:r>
    </w:p>
    <w:p w:rsidR="00F455DC" w:rsidRPr="005A5F71" w:rsidRDefault="00FB626E" w:rsidP="008137AD">
      <w:pPr>
        <w:spacing w:after="100" w:afterAutospacing="1" w:line="240" w:lineRule="auto"/>
        <w:jc w:val="both"/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 xml:space="preserve">2) </w:t>
      </w:r>
      <w:r w:rsidR="005A5F71" w:rsidRPr="005A5F71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Upravené vymezení, koho se týkají jednotlivé fáze EET</w:t>
      </w:r>
    </w:p>
    <w:p w:rsidR="005A5F71" w:rsidRDefault="005A5F71" w:rsidP="008137AD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Ministr financí Andrej </w:t>
      </w:r>
      <w:proofErr w:type="spellStart"/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Babiš</w:t>
      </w:r>
      <w:proofErr w:type="spellEnd"/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upřesnil, že první fáze EET se nebude týkat stravovacích zařízení, která hostům neposkytují potřebné zázemí ve formě stolů a židlí. Nově tedy vyšlo najevo, že se první fáze nebude týkat stánků s rychlým občerstvením nebo dovozu pizzy apod. </w:t>
      </w:r>
    </w:p>
    <w:p w:rsidR="005A5F71" w:rsidRDefault="00FB626E" w:rsidP="00FB626E">
      <w:pPr>
        <w:spacing w:after="0" w:line="240" w:lineRule="auto"/>
        <w:jc w:val="both"/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</w:pPr>
      <w:r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 xml:space="preserve">Michal Wantulok ze společnosti </w:t>
      </w:r>
      <w:proofErr w:type="spellStart"/>
      <w:r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Dotykačka</w:t>
      </w:r>
      <w:proofErr w:type="spellEnd"/>
      <w:r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:</w:t>
      </w:r>
      <w:r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5A5F71"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Vymezení nemusí být zcela jednoznačné</w:t>
      </w:r>
    </w:p>
    <w:p w:rsidR="00FB626E" w:rsidRPr="00FB626E" w:rsidRDefault="00FB626E" w:rsidP="00FB626E">
      <w:pPr>
        <w:spacing w:after="0" w:line="240" w:lineRule="auto"/>
        <w:jc w:val="both"/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</w:pPr>
    </w:p>
    <w:p w:rsidR="005A5F71" w:rsidRDefault="005A5F71" w:rsidP="00FB626E">
      <w:pPr>
        <w:spacing w:after="100" w:afterAutospacing="1" w:line="240" w:lineRule="auto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 w:rsidRPr="00014907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„Jakákoli zpřesnění vítáme. V tomto případě se podle všeho stane určujícím výše DPH, kdy podniky uplatňující v současnosti 15% DPH nebudou evidovat v první fázi EET. </w:t>
      </w:r>
      <w:r w:rsidR="006951B1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br/>
      </w:r>
      <w:r w:rsidRPr="00014907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I přes toto vymezení však u některých provozoven možná bude pr</w:t>
      </w:r>
      <w:r w:rsidR="00014907" w:rsidRPr="00014907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oblematické určit, kdo kam </w:t>
      </w:r>
      <w:r w:rsidR="00014907" w:rsidRPr="00014907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lastRenderedPageBreak/>
        <w:t xml:space="preserve">spadá. Příkladem mohou být </w:t>
      </w:r>
      <w:proofErr w:type="spellStart"/>
      <w:r w:rsidR="00014907" w:rsidRPr="00014907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fastfoodové</w:t>
      </w:r>
      <w:proofErr w:type="spellEnd"/>
      <w:r w:rsidR="00014907" w:rsidRPr="00014907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řetězce v obchodních centrech, kde jednotlivé provozovny mají </w:t>
      </w:r>
      <w:r w:rsidR="00014907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povahu</w:t>
      </w:r>
      <w:r w:rsidR="00014907" w:rsidRPr="00014907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stánku a židle a</w:t>
      </w:r>
      <w:r w:rsidR="00FB626E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 stoly náleží obchodnímu centru.</w:t>
      </w:r>
      <w:r w:rsidR="00014907" w:rsidRPr="00014907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“</w:t>
      </w:r>
      <w:r w:rsidR="00014907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</w:t>
      </w:r>
    </w:p>
    <w:p w:rsidR="00014907" w:rsidRDefault="00FB626E" w:rsidP="00FB626E">
      <w:pPr>
        <w:spacing w:after="100" w:afterAutospacing="1" w:line="240" w:lineRule="auto"/>
        <w:jc w:val="both"/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 xml:space="preserve">3) </w:t>
      </w:r>
      <w:r w:rsidR="00014907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Kadeřnice</w:t>
      </w:r>
      <w:r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: N</w:t>
      </w:r>
      <w:r w:rsidR="009214A8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>ěkteré EET kvůli šamponům řešit nemusí. Jiné ano.</w:t>
      </w:r>
    </w:p>
    <w:p w:rsidR="00014907" w:rsidRPr="00014907" w:rsidRDefault="00014907" w:rsidP="00FB626E">
      <w:pPr>
        <w:spacing w:after="100" w:afterAutospacing="1" w:line="240" w:lineRule="auto"/>
        <w:jc w:val="both"/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Mimo jiné na tiskové konferenci zaznělo, že </w:t>
      </w:r>
      <w:r w:rsidR="007146CB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kadeřnic</w:t>
      </w: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, které vedle svých služeb prodávají také vlasovou kosmetiku apod.</w:t>
      </w:r>
      <w:r w:rsidR="009214A8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 xml:space="preserve"> – tedy vydělávají si i maloobchodním prodejem – </w:t>
      </w:r>
      <w:r w:rsidR="007146CB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se druhá fáze EET nemusí týkat</w:t>
      </w:r>
      <w:r w:rsidR="009214A8"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  <w:t>. Toto pravidlo však není plošné.</w:t>
      </w:r>
    </w:p>
    <w:p w:rsidR="009214A8" w:rsidRPr="009214A8" w:rsidRDefault="00FB626E" w:rsidP="00FB626E">
      <w:pPr>
        <w:spacing w:after="100" w:afterAutospacing="1" w:line="240" w:lineRule="auto"/>
        <w:jc w:val="both"/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</w:pPr>
      <w:r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 xml:space="preserve">Michal Wantulok ze společnosti </w:t>
      </w:r>
      <w:proofErr w:type="spellStart"/>
      <w:r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Dotykačka</w:t>
      </w:r>
      <w:proofErr w:type="spellEnd"/>
      <w:r w:rsidR="009214A8"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:</w:t>
      </w:r>
      <w:r w:rsidR="009214A8" w:rsidRPr="009214A8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 w:eastAsia="cs-CZ"/>
        </w:rPr>
        <w:t xml:space="preserve"> </w:t>
      </w:r>
      <w:r w:rsidR="006951B1"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C</w:t>
      </w:r>
      <w:r w:rsidR="009214A8"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 xml:space="preserve">htělo by to </w:t>
      </w:r>
      <w:r w:rsidR="006951B1" w:rsidRPr="00FB626E">
        <w:rPr>
          <w:rFonts w:ascii="Helvetica" w:eastAsia="Times New Roman" w:hAnsi="Helvetica" w:cs="Arial Unicode MS"/>
          <w:b/>
          <w:i/>
          <w:color w:val="000000"/>
          <w:sz w:val="22"/>
          <w:szCs w:val="22"/>
          <w:u w:color="000000"/>
          <w:lang w:val="cs-CZ" w:eastAsia="cs-CZ"/>
        </w:rPr>
        <w:t>jasná pravidla</w:t>
      </w:r>
    </w:p>
    <w:p w:rsidR="009214A8" w:rsidRDefault="009214A8" w:rsidP="00FB626E">
      <w:pPr>
        <w:spacing w:after="100" w:afterAutospacing="1" w:line="240" w:lineRule="auto"/>
        <w:ind w:hanging="1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  <w:lang w:val="cs-CZ" w:eastAsia="cs-CZ"/>
        </w:rPr>
      </w:pPr>
      <w:r w:rsidRPr="006951B1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„</w:t>
      </w:r>
      <w:r w:rsidR="006951B1" w:rsidRPr="006951B1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Vítáme snahu Ministerstva financí o zjednodušení, která možná vzešla i z našeho nedávného podnětu, kdy jsme toto téma vyvolali. Kadeřnice, které doplňkově prodávají i produkty vlasové kosmetiky, jistě uvítají, že nemusejí EET </w:t>
      </w:r>
      <w:r w:rsidR="007146CB" w:rsidRPr="006951B1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řešit </w:t>
      </w:r>
      <w:r w:rsidR="006951B1" w:rsidRPr="006951B1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 xml:space="preserve">předčasně. Ovšem vymezení „pokud se bude jednat o marginální prodeje“ je podle nás velmi nejednoznačné. Chce to jasná </w:t>
      </w:r>
      <w:r w:rsidR="00FB626E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pravidla, aby nevznikaly zmatky.</w:t>
      </w:r>
      <w:r w:rsidR="006951B1" w:rsidRPr="006951B1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  <w:lang w:val="cs-CZ" w:eastAsia="cs-CZ"/>
        </w:rPr>
        <w:t>“</w:t>
      </w:r>
    </w:p>
    <w:p w:rsidR="006951B1" w:rsidRDefault="006951B1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</w:p>
    <w:p w:rsidR="001C223A" w:rsidRPr="00277B39" w:rsidRDefault="001C223A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  <w:r w:rsidRPr="00277B39">
        <w:rPr>
          <w:rFonts w:ascii="Arial" w:hAnsi="Arial" w:cs="Arial"/>
          <w:color w:val="000000"/>
          <w:sz w:val="20"/>
          <w:szCs w:val="22"/>
          <w:u w:val="single"/>
        </w:rPr>
        <w:t>Kontakt pro média:</w:t>
      </w:r>
    </w:p>
    <w:p w:rsidR="001C223A" w:rsidRPr="00277B39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277B39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:rsidR="001C223A" w:rsidRPr="00277B39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277B39">
        <w:rPr>
          <w:rFonts w:ascii="Arial" w:hAnsi="Arial" w:cs="Arial"/>
          <w:color w:val="000000"/>
          <w:sz w:val="20"/>
          <w:szCs w:val="22"/>
        </w:rPr>
        <w:t xml:space="preserve">Media &amp; PR </w:t>
      </w:r>
      <w:proofErr w:type="spellStart"/>
      <w:r w:rsidRPr="00277B39">
        <w:rPr>
          <w:rFonts w:ascii="Arial" w:hAnsi="Arial" w:cs="Arial"/>
          <w:color w:val="000000"/>
          <w:sz w:val="20"/>
          <w:szCs w:val="22"/>
        </w:rPr>
        <w:t>Consultant</w:t>
      </w:r>
      <w:proofErr w:type="spellEnd"/>
    </w:p>
    <w:p w:rsidR="001C223A" w:rsidRPr="00277B39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277B39">
        <w:rPr>
          <w:rFonts w:ascii="Arial" w:hAnsi="Arial" w:cs="Arial"/>
          <w:color w:val="000000"/>
          <w:sz w:val="20"/>
          <w:szCs w:val="22"/>
        </w:rPr>
        <w:t>+420 775 708 019</w:t>
      </w:r>
    </w:p>
    <w:p w:rsidR="001C223A" w:rsidRPr="005E1405" w:rsidRDefault="00A93454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hyperlink r:id="rId7" w:history="1">
        <w:r w:rsidR="001C223A" w:rsidRPr="00277B39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:rsidR="00242B0A" w:rsidRPr="00277B39" w:rsidRDefault="00242B0A" w:rsidP="005E1405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  <w:r w:rsidRPr="00277B39">
        <w:rPr>
          <w:rFonts w:ascii="Arial" w:hAnsi="Arial" w:cs="Arial"/>
          <w:b/>
          <w:bCs/>
          <w:i/>
          <w:sz w:val="18"/>
          <w:szCs w:val="18"/>
        </w:rPr>
        <w:t>Dotykačka</w:t>
      </w:r>
      <w:r w:rsidR="005E1405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277B39">
        <w:rPr>
          <w:rFonts w:ascii="Arial" w:hAnsi="Arial" w:cs="Arial"/>
          <w:b/>
          <w:bCs/>
          <w:i/>
          <w:sz w:val="18"/>
          <w:szCs w:val="18"/>
        </w:rPr>
        <w:t>s.r.o.</w:t>
      </w:r>
      <w:r w:rsidRPr="00277B39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277B39">
        <w:rPr>
          <w:rFonts w:ascii="Arial" w:hAnsi="Arial" w:cs="Arial"/>
          <w:i/>
          <w:sz w:val="18"/>
          <w:szCs w:val="18"/>
        </w:rPr>
        <w:t>vznikla z dynamicky se rozvíjejícího start-</w:t>
      </w:r>
      <w:proofErr w:type="spellStart"/>
      <w:r w:rsidRPr="00277B39">
        <w:rPr>
          <w:rFonts w:ascii="Arial" w:hAnsi="Arial" w:cs="Arial"/>
          <w:i/>
          <w:sz w:val="18"/>
          <w:szCs w:val="18"/>
        </w:rPr>
        <w:t>upu</w:t>
      </w:r>
      <w:proofErr w:type="spellEnd"/>
      <w:r w:rsidRPr="00277B39">
        <w:rPr>
          <w:rFonts w:ascii="Arial" w:hAnsi="Arial" w:cs="Arial"/>
          <w:i/>
          <w:sz w:val="18"/>
          <w:szCs w:val="18"/>
        </w:rPr>
        <w:t xml:space="preserve"> v roce 2015.</w:t>
      </w:r>
      <w:r w:rsidRPr="00277B39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277B39">
        <w:rPr>
          <w:rFonts w:ascii="Arial" w:hAnsi="Arial" w:cs="Arial"/>
          <w:i/>
          <w:sz w:val="18"/>
          <w:szCs w:val="18"/>
        </w:rPr>
        <w:t>Její úspěšná obchodní aplikace</w:t>
      </w:r>
      <w:r w:rsidRPr="00277B39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277B39">
        <w:rPr>
          <w:rFonts w:ascii="Arial" w:hAnsi="Arial" w:cs="Arial"/>
          <w:i/>
          <w:sz w:val="18"/>
          <w:szCs w:val="18"/>
        </w:rPr>
        <w:t>vyvinutá na platformě Android představuje plnohodnotnou náhradu složitých a drahých počítačových pokladních systémů a zároveň poskytuje středním a malým podnikatelům komplexní řešení splňující zákonnou povinnost evidence tržeb. Dotykačka s.r.o</w:t>
      </w:r>
      <w:r w:rsidR="004430C7" w:rsidRPr="00277B39">
        <w:rPr>
          <w:rFonts w:ascii="Arial" w:hAnsi="Arial" w:cs="Arial"/>
          <w:i/>
          <w:sz w:val="18"/>
          <w:szCs w:val="18"/>
        </w:rPr>
        <w:t>.</w:t>
      </w:r>
      <w:r w:rsidRPr="00277B39">
        <w:rPr>
          <w:rFonts w:ascii="Arial" w:hAnsi="Arial" w:cs="Arial"/>
          <w:i/>
          <w:sz w:val="18"/>
          <w:szCs w:val="18"/>
        </w:rPr>
        <w:t xml:space="preserve"> v České republice </w:t>
      </w:r>
      <w:r w:rsidR="004430C7" w:rsidRPr="00277B39">
        <w:rPr>
          <w:rFonts w:ascii="Arial" w:hAnsi="Arial" w:cs="Arial"/>
          <w:i/>
          <w:sz w:val="18"/>
          <w:szCs w:val="18"/>
        </w:rPr>
        <w:t xml:space="preserve">zaměstnává </w:t>
      </w:r>
      <w:r w:rsidRPr="00277B39">
        <w:rPr>
          <w:rFonts w:ascii="Arial" w:hAnsi="Arial" w:cs="Arial"/>
          <w:i/>
          <w:sz w:val="18"/>
          <w:szCs w:val="18"/>
        </w:rPr>
        <w:t xml:space="preserve">na pět desítek zaměstnanců a obsluhuje přes 2 000 aktivních uživatelů. Celosvětově si aplikaci Dotykačka stáhlo na svá zařízení přes 35 000 uživatelů – nejvíce z České republiky, Indonésie, Polska, Německa </w:t>
      </w:r>
      <w:r w:rsidR="004430C7" w:rsidRPr="00277B39">
        <w:rPr>
          <w:rFonts w:ascii="Arial" w:hAnsi="Arial" w:cs="Arial"/>
          <w:i/>
          <w:sz w:val="18"/>
          <w:szCs w:val="18"/>
        </w:rPr>
        <w:t>a dalších zemí. Vedle Prahy a Brna</w:t>
      </w:r>
      <w:r w:rsidRPr="00277B39">
        <w:rPr>
          <w:rFonts w:ascii="Arial" w:hAnsi="Arial" w:cs="Arial"/>
          <w:i/>
          <w:sz w:val="18"/>
          <w:szCs w:val="18"/>
        </w:rPr>
        <w:t xml:space="preserve"> má </w:t>
      </w:r>
      <w:r w:rsidR="004430C7" w:rsidRPr="00277B39">
        <w:rPr>
          <w:rFonts w:ascii="Arial" w:hAnsi="Arial" w:cs="Arial"/>
          <w:i/>
          <w:sz w:val="18"/>
          <w:szCs w:val="18"/>
        </w:rPr>
        <w:t xml:space="preserve">Dotykačka </w:t>
      </w:r>
      <w:r w:rsidRPr="00277B39">
        <w:rPr>
          <w:rFonts w:ascii="Arial" w:hAnsi="Arial" w:cs="Arial"/>
          <w:i/>
          <w:sz w:val="18"/>
          <w:szCs w:val="18"/>
        </w:rPr>
        <w:t>obchodní zastoupení</w:t>
      </w:r>
      <w:r w:rsidR="004430C7" w:rsidRPr="00277B39">
        <w:rPr>
          <w:rFonts w:ascii="Arial" w:hAnsi="Arial" w:cs="Arial"/>
          <w:i/>
          <w:sz w:val="18"/>
          <w:szCs w:val="18"/>
        </w:rPr>
        <w:t xml:space="preserve"> také</w:t>
      </w:r>
      <w:r w:rsidRPr="00277B39">
        <w:rPr>
          <w:rFonts w:ascii="Arial" w:hAnsi="Arial" w:cs="Arial"/>
          <w:i/>
          <w:sz w:val="18"/>
          <w:szCs w:val="18"/>
        </w:rPr>
        <w:t xml:space="preserve"> v Hradci Králové, Ostravě, Českých Budějovicích a Plzni. V listopadu 2015 otevřela pro zákazníky moderní </w:t>
      </w:r>
      <w:proofErr w:type="spellStart"/>
      <w:r w:rsidRPr="00277B39">
        <w:rPr>
          <w:rFonts w:ascii="Arial" w:hAnsi="Arial" w:cs="Arial"/>
          <w:i/>
          <w:sz w:val="18"/>
          <w:szCs w:val="18"/>
        </w:rPr>
        <w:t>showroom</w:t>
      </w:r>
      <w:proofErr w:type="spellEnd"/>
      <w:r w:rsidRPr="00277B39">
        <w:rPr>
          <w:rFonts w:ascii="Arial" w:hAnsi="Arial" w:cs="Arial"/>
          <w:i/>
          <w:sz w:val="18"/>
          <w:szCs w:val="18"/>
        </w:rPr>
        <w:t xml:space="preserve"> na pražském Andělu. </w:t>
      </w:r>
    </w:p>
    <w:sectPr w:rsidR="00242B0A" w:rsidRPr="00277B39" w:rsidSect="003A63AF">
      <w:headerReference w:type="default" r:id="rId8"/>
      <w:foot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454" w:rsidRDefault="00A93454" w:rsidP="00242A0C">
      <w:r>
        <w:separator/>
      </w:r>
    </w:p>
  </w:endnote>
  <w:endnote w:type="continuationSeparator" w:id="0">
    <w:p w:rsidR="00A93454" w:rsidRDefault="00A93454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D4C" w:rsidRDefault="005B5D4C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5D4C" w:rsidRPr="00727990" w:rsidRDefault="005B5D4C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:rsidR="005B5D4C" w:rsidRPr="00727990" w:rsidRDefault="005B5D4C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5D4C" w:rsidRPr="00E65579" w:rsidRDefault="005B5D4C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:rsidR="005B5D4C" w:rsidRPr="00E65579" w:rsidRDefault="005B5D4C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454" w:rsidRDefault="00A93454" w:rsidP="00242A0C">
      <w:r>
        <w:separator/>
      </w:r>
    </w:p>
  </w:footnote>
  <w:footnote w:type="continuationSeparator" w:id="0">
    <w:p w:rsidR="00A93454" w:rsidRDefault="00A93454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D4C" w:rsidRDefault="005B5D4C" w:rsidP="00242A0C">
    <w:pPr>
      <w:pStyle w:val="Zhlav"/>
    </w:pPr>
  </w:p>
  <w:p w:rsidR="005B5D4C" w:rsidRDefault="005B5D4C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 xml:space="preserve">TISKOVÁ </w:t>
    </w:r>
    <w:r w:rsidR="00FB626E">
      <w:rPr>
        <w:sz w:val="24"/>
      </w:rPr>
      <w:t>INFORMACE</w:t>
    </w:r>
  </w:p>
  <w:p w:rsidR="00FB626E" w:rsidRPr="005B5D4C" w:rsidRDefault="00FB626E" w:rsidP="005B5D4C">
    <w:pPr>
      <w:pStyle w:val="Zhlav"/>
      <w:spacing w:before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1D7E339B"/>
    <w:multiLevelType w:val="hybridMultilevel"/>
    <w:tmpl w:val="42CC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4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5" w15:restartNumberingAfterBreak="0">
    <w:nsid w:val="3ACB49AC"/>
    <w:multiLevelType w:val="hybridMultilevel"/>
    <w:tmpl w:val="B04A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7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14907"/>
    <w:rsid w:val="00027B4C"/>
    <w:rsid w:val="000602C9"/>
    <w:rsid w:val="000633D5"/>
    <w:rsid w:val="00064D63"/>
    <w:rsid w:val="00066FA9"/>
    <w:rsid w:val="0007757D"/>
    <w:rsid w:val="000A26CC"/>
    <w:rsid w:val="000A4C46"/>
    <w:rsid w:val="000E7FCE"/>
    <w:rsid w:val="00124C40"/>
    <w:rsid w:val="00126718"/>
    <w:rsid w:val="00195C17"/>
    <w:rsid w:val="0019739A"/>
    <w:rsid w:val="001A1A29"/>
    <w:rsid w:val="001C223A"/>
    <w:rsid w:val="00221C93"/>
    <w:rsid w:val="00237C62"/>
    <w:rsid w:val="00242A0C"/>
    <w:rsid w:val="00242B0A"/>
    <w:rsid w:val="002562C9"/>
    <w:rsid w:val="00274F6B"/>
    <w:rsid w:val="00277B39"/>
    <w:rsid w:val="002B76BC"/>
    <w:rsid w:val="002E5B21"/>
    <w:rsid w:val="00351DFA"/>
    <w:rsid w:val="00353520"/>
    <w:rsid w:val="0037751D"/>
    <w:rsid w:val="003A63AF"/>
    <w:rsid w:val="003A6AA9"/>
    <w:rsid w:val="003C6124"/>
    <w:rsid w:val="00403D4C"/>
    <w:rsid w:val="0042424F"/>
    <w:rsid w:val="00430FC4"/>
    <w:rsid w:val="004430C7"/>
    <w:rsid w:val="0046303A"/>
    <w:rsid w:val="004706FD"/>
    <w:rsid w:val="004742D5"/>
    <w:rsid w:val="004836B6"/>
    <w:rsid w:val="004876F4"/>
    <w:rsid w:val="00497B1B"/>
    <w:rsid w:val="005026C4"/>
    <w:rsid w:val="00541105"/>
    <w:rsid w:val="00591D3C"/>
    <w:rsid w:val="00595C1A"/>
    <w:rsid w:val="005A5F71"/>
    <w:rsid w:val="005B5D4C"/>
    <w:rsid w:val="005E1405"/>
    <w:rsid w:val="005F516F"/>
    <w:rsid w:val="0060026E"/>
    <w:rsid w:val="00600B9A"/>
    <w:rsid w:val="00621441"/>
    <w:rsid w:val="006310E6"/>
    <w:rsid w:val="00645CB7"/>
    <w:rsid w:val="006666CB"/>
    <w:rsid w:val="00683DBD"/>
    <w:rsid w:val="006951B1"/>
    <w:rsid w:val="007146CB"/>
    <w:rsid w:val="00727990"/>
    <w:rsid w:val="007357CC"/>
    <w:rsid w:val="0077528E"/>
    <w:rsid w:val="007B0FD1"/>
    <w:rsid w:val="007B448E"/>
    <w:rsid w:val="007C0F06"/>
    <w:rsid w:val="007D307D"/>
    <w:rsid w:val="007F58F4"/>
    <w:rsid w:val="007F657F"/>
    <w:rsid w:val="00810D5A"/>
    <w:rsid w:val="008137AD"/>
    <w:rsid w:val="008150D7"/>
    <w:rsid w:val="0081760F"/>
    <w:rsid w:val="00820BBB"/>
    <w:rsid w:val="00836C0F"/>
    <w:rsid w:val="008724A0"/>
    <w:rsid w:val="00897778"/>
    <w:rsid w:val="008C1687"/>
    <w:rsid w:val="008C53B2"/>
    <w:rsid w:val="008F5CEA"/>
    <w:rsid w:val="0092044C"/>
    <w:rsid w:val="009214A8"/>
    <w:rsid w:val="009262E8"/>
    <w:rsid w:val="00951F03"/>
    <w:rsid w:val="00982C78"/>
    <w:rsid w:val="00995606"/>
    <w:rsid w:val="00A671DF"/>
    <w:rsid w:val="00A93454"/>
    <w:rsid w:val="00AC1B6E"/>
    <w:rsid w:val="00AF04A7"/>
    <w:rsid w:val="00AF30C8"/>
    <w:rsid w:val="00B10762"/>
    <w:rsid w:val="00B16A52"/>
    <w:rsid w:val="00B45E11"/>
    <w:rsid w:val="00B707F4"/>
    <w:rsid w:val="00BA5DB9"/>
    <w:rsid w:val="00BC3E41"/>
    <w:rsid w:val="00BC5DDA"/>
    <w:rsid w:val="00C06A20"/>
    <w:rsid w:val="00C46572"/>
    <w:rsid w:val="00C537CB"/>
    <w:rsid w:val="00C55CF5"/>
    <w:rsid w:val="00CB2DD3"/>
    <w:rsid w:val="00D03D65"/>
    <w:rsid w:val="00D46CCE"/>
    <w:rsid w:val="00D61CC6"/>
    <w:rsid w:val="00D649D0"/>
    <w:rsid w:val="00D8254E"/>
    <w:rsid w:val="00D965E7"/>
    <w:rsid w:val="00DD6A84"/>
    <w:rsid w:val="00E005D6"/>
    <w:rsid w:val="00E04F97"/>
    <w:rsid w:val="00E46C06"/>
    <w:rsid w:val="00E65579"/>
    <w:rsid w:val="00EC71EE"/>
    <w:rsid w:val="00EE3A19"/>
    <w:rsid w:val="00F03DF9"/>
    <w:rsid w:val="00F22207"/>
    <w:rsid w:val="00F455DC"/>
    <w:rsid w:val="00F91A32"/>
    <w:rsid w:val="00F92AA0"/>
    <w:rsid w:val="00FB626E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7D8E8E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99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3A6A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@bluegek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603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4</cp:revision>
  <dcterms:created xsi:type="dcterms:W3CDTF">2016-08-29T09:56:00Z</dcterms:created>
  <dcterms:modified xsi:type="dcterms:W3CDTF">2016-08-29T11:59:00Z</dcterms:modified>
</cp:coreProperties>
</file>